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Working Policy — Larkspur Analytics</w:t>
      </w:r>
    </w:p>
    <w:p>
      <w:r>
        <w:t>Owner: Ada Nwachukwu-Barr, People &amp; Culture. Version 3, effective 2026-04-01.</w:t>
      </w:r>
    </w:p>
    <w:p>
      <w:r>
        <w:t>Staff may work remotely up to three days a week by agreement with their manager.</w:t>
      </w:r>
    </w:p>
    <w:p>
      <w:r>
        <w:t>Requests to change working pattern are handled in a strictly confidential manner and are seen only by the employee, their manager and People &amp; Culture.</w:t>
      </w:r>
    </w:p>
    <w:p>
      <w:r>
        <w:t>Customer data must only be accessed through company-managed laptops and never stored on personal devices.</w:t>
      </w:r>
    </w:p>
    <w:p>
      <w:r>
        <w:t>Questions about this policy go to Ada Nwachukwu-Barr.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Larkspur Analytics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