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Steering meeting — Demand Forecasting Rollout (PRJ-102)</w:t>
      </w:r>
    </w:p>
    <w:p>
      <w:r>
        <w:t>Date: 2026-08-19. Location: Corriedale Grocers head office, Leeds.</w:t>
      </w:r>
    </w:p>
    <w:p>
      <w:r>
        <w:t>Attendees: Hamish Oduya, Petra Lindqvist-Shaw (Corriedale Grocers); Ines Marchetti-Holm, Callum Driscoll-Park (Larkspur Analytics).</w:t>
      </w:r>
    </w:p>
    <w:p>
      <w:r>
        <w:t>Decision: start with the Leeds stores only; Harrogate follows once the Leeds backtest passes.</w:t>
      </w:r>
    </w:p>
    <w:p>
      <w:r>
        <w:t>Action: Petra Lindqvist-Shaw to freeze the SKU master by 2026-08-29.</w:t>
      </w:r>
    </w:p>
    <w:p>
      <w:r>
        <w:t>Action: Callum Driscoll-Park to raise the milestone 1 invoice after the backtest.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Larkspur Analytics (synthetic)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