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193675</wp:posOffset>
            </wp:positionH>
            <wp:positionV relativeFrom="paragraph">
              <wp:posOffset>-678180</wp:posOffset>
            </wp:positionV>
            <wp:extent cx="1070610" cy="647700"/>
            <wp:effectExtent l="0" t="0" r="0" b="0"/>
            <wp:wrapSquare wrapText="largest"/>
            <wp:docPr id="100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6021" t="29775" r="19107" b="30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1002" name="Zon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Maîtrise des normes et équipements ESD ainsi que du respect strict des normes ISO 5 et ISO 7 en environnement salle blanche.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Lecture experte de plans de montage et de plans mécaniques, avec compréhension des fiches suiveuses et des nomenclatures.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Capacité à identifier, vérifier et positionner les composants électroniques à partir de schémas électroniques ou de plans de câblage.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Réalisation de câblage microélectronique en utilisant divers alliages (Sn62Pb36Ag2, Sn63Pb37, Sn96Ag4, Sn91,5Sb8,5, Sn5Pb93,5Ag1,5) et techniques de brasage manuel (CMS, traversant, filaire).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Exécution de microsoudures sous binoculaire, dédorage et étamage des composants et des cartes, ainsi que de retouches et réparations de défauts.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Contrôle visuel et analytique de la conformité des cartes (sens des composants, aspect de la brasure, photos RX BGA) et test de continuité avec testeur ou multimètre.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Utilisation de la méthode 5S et respect des procédures qualité, incluant la certification ESA ECSS‑Q‑ST‑70‑38 et ECSS‑Q‑ST‑70‑61C.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Formation de nouveaux employés aux bonnes pratiques du câblage et aux exigences du secteur spatial.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Opérations de production avancées : redressement et étamage de pattes TSOP/TSSOP, sablage, empilage, enrobage de résine et utilisation de lasers IR/UV pour l’ouverture et la sérialisation de circuits imprimés.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1003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ÔUTILS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ERP et gestion de production:</w:t>
      </w:r>
      <w:r>
        <w:rPr>
          <w:rFonts w:ascii="Calibri" w:hAnsi="Calibri"/>
          <w:color w:val="002060"/>
          <w:sz w:val="18"/>
          <w:szCs w:val="18"/>
        </w:rPr>
        <w:t xml:space="preserve"> INDUSTRIA, DIVALTO</w: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Équipements de soudure et d'inspection:</w:t>
      </w:r>
      <w:r>
        <w:rPr>
          <w:rFonts w:ascii="Calibri" w:hAnsi="Calibri"/>
          <w:color w:val="002060"/>
          <w:sz w:val="18"/>
          <w:szCs w:val="18"/>
        </w:rPr>
        <w:t xml:space="preserve"> Binoculaire (microscope optique), Testeur de continuité, Multimètre, Laser IR, Laser UV</w: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Outillage de traitement et de protection:</w:t>
      </w:r>
      <w:r>
        <w:rPr>
          <w:rFonts w:ascii="Calibri" w:hAnsi="Calibri"/>
          <w:color w:val="002060"/>
          <w:sz w:val="18"/>
          <w:szCs w:val="18"/>
        </w:rPr>
        <w:t xml:space="preserve"> Bain d'étamage, Séringue de dépôt de résine, Station de désoudage et d'étamage</w: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spacing w:before="0" w:after="19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1004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7"/>
        </w:numPr>
        <w:spacing w:before="0" w:after="19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Aérospatial</w:t>
      </w:r>
    </w:p>
    <w:p>
      <w:pPr>
        <w:pStyle w:val="Normal"/>
        <w:spacing w:before="0" w:after="19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61286E2">
                <wp:extent cx="6494145" cy="309880"/>
                <wp:effectExtent l="11430" t="9525" r="257175" b="13970"/>
                <wp:docPr id="1005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8"/>
        </w:numPr>
        <w:rPr>
          <w:rFonts w:ascii="Calibri" w:hAnsi="Calibri"/>
          <w:b/>
          <w:bCs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Brasage manuel selon les normes spatiales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8"/>
        </w:numPr>
        <w:rPr>
          <w:rFonts w:ascii="Calibri" w:hAnsi="Calibri"/>
          <w:b/>
          <w:bCs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Prévention des risques chimiques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8"/>
        </w:numPr>
        <w:rPr>
          <w:rFonts w:ascii="Calibri" w:hAnsi="Calibri"/>
          <w:b/>
          <w:bCs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Utilisation et manipulation d'une binoculaire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  Formation externe (SFM)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8"/>
        </w:numPr>
        <w:rPr>
          <w:rFonts w:ascii="Calibri" w:hAnsi="Calibri"/>
          <w:b/>
          <w:bCs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Certification de l'ESA en Brasage manuel au fer en spatial selon la norme ECSS-Q-ST-70-38 de l’ESA (CMS-ESA)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8"/>
        </w:numPr>
        <w:rPr>
          <w:rFonts w:ascii="Calibri" w:hAnsi="Calibri"/>
          <w:b/>
          <w:bCs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Certification de l'ESA en Brasage manuel au fer en spatial selon la norme ECSS-Q-ST-70-61C de l’ESA (Traversant et Filaire)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numPr>
          <w:ilvl w:val="0"/>
          <w:numId w:val="8"/>
        </w:numPr>
        <w:rPr>
          <w:rFonts w:ascii="Calibri" w:hAnsi="Calibri"/>
          <w:b/>
          <w:bCs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Formateur câblage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321EBBB5">
                <wp:extent cx="6494145" cy="309880"/>
                <wp:effectExtent l="11430" t="10795" r="257175" b="12700"/>
                <wp:docPr id="1006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321EBBB5">
                <wp:extent cx="6494145" cy="309880"/>
                <wp:effectExtent l="11430" t="10795" r="257175" b="12700"/>
                <wp:docPr id="1007" name="Zon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  <w:r>
        <w:rPr>
          <w:rFonts w:cs="Calibri" w:ascii="Calibri" w:hAnsi="Calibri"/>
          <w:b/>
          <w:color w:val="002060"/>
          <w:sz w:val="22"/>
          <w:szCs w:val="22"/>
        </w:rPr>
        <w:br/>
      </w: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/>
          <w:bCs/>
          <w:i w:val="false"/>
          <w:iCs w:val="false"/>
          <w:color w:val="002060"/>
          <w:sz w:val="18"/>
          <w:szCs w:val="18"/>
        </w:rPr>
        <w:t xml:space="preserve">3D PLUS</w:t>
      </w: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 </w:t>
        <w:tab/>
        <w:t xml:space="preserve"> </w:t>
        <w:tab/>
        <w:tab/>
        <w:tab/>
        <w:tab/>
        <w:tab/>
        <w:t xml:space="preserve">2020 - présent  5 ans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mc:AlternateContent>
          <mc:Choice Requires="wps">
            <w:drawing>
              <wp:anchor behindDoc="0" distT="635" distB="635" distL="635" distR="635" simplePos="0" locked="0" layoutInCell="1" allowOverlap="1" relativeHeight="19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08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Câbleur microélectronique dans le spatial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 w:val="false"/>
          <w:bCs w:val="false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 w:val="false"/>
          <w:bCs w:val="false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Identifier l’implantation des composants à partir d’un schéma électronique ou d’un plan de câblage.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Vérifier les composants avant le câblage.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Câbler avec différents types d’alliages : Sn62Pb36Ag2, Sn63Pb37, Sn96Ag4, Sn91,5Sb8,5, Sn5Pb93,5Ag1,5 (haute température).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Placer et braser manuellement des composants CMS, traversants et filaires.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Réaliser un billage manuel sur une carte électronique.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Effectuer des retouches et/ou réparations selon les défauts identifiés sur la carte.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Réaliser des microsoudures au fer à souder sous binoculaire.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Réaliser le dédorage et l’étamage des composants au fer à souder ou au bain.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Réaliser le dédorage et l’étamage des cartes électroniques au fer.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Contrôler visuellement la conformité des cartes électroniques (sens des composants, aspect de la brasure…) selon les critères du spatial.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Contrôler les photos RX pour les composants BGA (billes).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Tester la continuité des cartes électroniques avec un testeur ou un multimètre.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Travailler et respecter les conditions d’une salle blanche ISO 7.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Former les nouveaux employés.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  <w:u w:val="none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/>
          <w:bCs/>
          <w:i w:val="false"/>
          <w:iCs w:val="false"/>
          <w:color w:val="002060"/>
          <w:sz w:val="18"/>
          <w:szCs w:val="18"/>
          <w:u w:val="none"/>
        </w:rPr>
        <w:t xml:space="preserve">Outils:</w:t>
      </w: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  <w:u w:val="none"/>
        </w:rPr>
        <w:t xml:space="preserve"> ERP INDUSTRIA, ERP DIVALTO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  <w:u w:val="none"/>
        </w:rPr>
        <w:t xml:space="preserve"/>
      </w:r>
    </w:p>
    <w:p>
      <w:pPr>
        <w:pStyle w:val="BodyText"/>
        <w:spacing w:before="0" w:after="120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/>
          <w:bCs/>
          <w:i w:val="false"/>
          <w:iCs w:val="false"/>
          <w:color w:val="002060"/>
          <w:sz w:val="18"/>
          <w:szCs w:val="18"/>
        </w:rPr>
        <w:t xml:space="preserve">3D PLUS</w:t>
      </w: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 xml:space="preserve"> </w:t>
        <w:tab/>
        <w:t xml:space="preserve"> </w:t>
        <w:tab/>
        <w:tab/>
        <w:tab/>
        <w:tab/>
        <w:tab/>
        <w:t xml:space="preserve">2016 - 2020  4 ans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mc:AlternateContent>
          <mc:Choice Requires="wps">
            <w:drawing>
              <wp:anchor behindDoc="0" distT="635" distB="635" distL="635" distR="635" simplePos="0" locked="0" layoutInCell="1" allowOverlap="1" relativeHeight="19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09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Opérateur de production dans le spatial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 w:val="false"/>
          <w:bCs w:val="false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 w:val="false"/>
          <w:bCs w:val="false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Redresser manuellement et automatiquement les pattes des TSOP/TSSOP.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Étamer les pattes des TSOP/TSSOP au bain.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Sabler le corps des TSOP/TSSOP.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Réaliser l’étanchéité des circuits connectiques à l’aide d’une résine déposée avec une seringue.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Empiler les composants TSOP/TSSOP en les collant.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Empiler des circuits électroniques câblés.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Enrober les empilages de composants électroniques avec de la résine.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 xml:space="preserve">Ouvrir et sérialiser des circuits imprimés au laser IR et au laser UV.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  <w:u w:val="none"/>
        </w:rPr>
        <w:t xml:space="preserve"/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/>
          <w:bCs/>
          <w:i w:val="false"/>
          <w:iCs w:val="false"/>
          <w:color w:val="002060"/>
          <w:sz w:val="18"/>
          <w:szCs w:val="18"/>
          <w:u w:val="none"/>
        </w:rPr>
        <w:t xml:space="preserve">Outils:</w:t>
      </w: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  <w:u w:val="none"/>
        </w:rPr>
        <w:t xml:space="preserve"> ERP INDUSTRIA, ERP DIVALTO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  <w:u w:val="none"/>
        </w:rPr>
        <w:t xml:space="preserve"/>
      </w:r>
    </w:p>
    <w:p>
      <w:pPr>
        <w:pStyle w:val="BodyText"/>
        <w:spacing w:before="0" w:after="120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709" w:right="748" w:gutter="0" w:header="283" w:top="850" w:footer="214" w:bottom="127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  <w:font w:name="Lucida Sans Unicode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61C7E1A7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1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61C7E1A7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61C7E1A7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2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61C7E1A7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</w:rPr>
    </w:pPr>
    <w:r>
      <mc:AlternateContent>
        <mc:Choice Requires="wps">
          <w:drawing>
            <wp:anchor behindDoc="1" distT="13970" distB="12700" distL="13970" distR="12700" simplePos="0" locked="0" layoutInCell="0" allowOverlap="1" relativeHeight="16" wp14:anchorId="123A3517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9" name="Rectangle 4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Calibri" w:ascii="Calibri" w:hAnsi="Calibri"/>
        <w:b/>
        <w:bCs/>
        <w:color w:val="002060"/>
        <w:sz w:val="24"/>
        <w:szCs w:val="24"/>
      </w:rPr>
      <w:t xml:space="preserve"/>
      <w:br/>
      <w:t xml:space="preserve">Câbleur Microélectronique</w:t>
    </w:r>
  </w:p>
  <w:p>
    <w:pPr>
      <w:pStyle w:val="Normal"/>
      <w:jc w:val="right"/>
      <w:rPr>
        <w:color w:val="002060"/>
      </w:rPr>
    </w:pPr>
    <w:r>
      <w:rPr>
        <w:rFonts w:cs="Calibri" w:ascii="Calibri" w:hAnsi="Calibri"/>
        <w:b/>
        <w:bCs/>
        <w:color w:val="002060"/>
        <w:sz w:val="24"/>
        <w:szCs w:val="24"/>
      </w:rPr>
      <w:t xml:space="preserve">9 ans d'expériences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</w:rPr>
    </w:pPr>
    <w:r>
      <mc:AlternateContent>
        <mc:Choice Requires="wps">
          <w:drawing>
            <wp:anchor behindDoc="1" distT="13970" distB="12700" distL="13970" distR="12700" simplePos="0" locked="0" layoutInCell="0" allowOverlap="1" relativeHeight="16" wp14:anchorId="123A3517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10" name="Rectangle 4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Calibri" w:ascii="Calibri" w:hAnsi="Calibri"/>
        <w:b/>
        <w:bCs/>
        <w:color w:val="002060"/>
        <w:sz w:val="24"/>
        <w:szCs w:val="24"/>
      </w:rPr>
      <w:t xml:space="preserve"/>
      <w:br/>
      <w:t xml:space="preserve">Câbleur Microélectronique</w:t>
    </w:r>
  </w:p>
  <w:p>
    <w:pPr>
      <w:pStyle w:val="Normal"/>
      <w:jc w:val="right"/>
      <w:rPr>
        <w:color w:val="002060"/>
      </w:rPr>
    </w:pPr>
    <w:r>
      <w:rPr>
        <w:rFonts w:cs="Calibri" w:ascii="Calibri" w:hAnsi="Calibri"/>
        <w:b/>
        <w:bCs/>
        <w:color w:val="002060"/>
        <w:sz w:val="24"/>
        <w:szCs w:val="24"/>
      </w:rPr>
      <w:t xml:space="preserve">9 ans d'expériences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65pt;height:165pt" o:bullet="t">
        <v:imagedata r:id="rId1" o:title=""/>
      </v:shape>
    </w:pict>
  </w:numPicBullet>
  <w:abstractNum w:abstractNumId="1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16"/>
        <w:spacing w:val="0"/>
        <w:i w:val="false"/>
        <w:b w:val="false"/>
        <w:w w:val="100"/>
        <w:color w:val="4C4C4C"/>
      </w:rPr>
    </w:lvl>
    <w:lvl w:ilvl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1416"/>
        </w:tabs>
        <w:ind w:left="1416" w:hanging="0"/>
      </w:pPr>
      <w:rPr>
        <w:rFonts w:ascii="Wingdings" w:hAnsi="Wingdings" w:cs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"/>
      <w:lvlJc w:val="left"/>
      <w:pPr>
        <w:tabs>
          <w:tab w:val="num" w:pos="0"/>
        </w:tabs>
        <w:ind w:left="1778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61a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i/>
      <w:szCs w:val="20"/>
    </w:rPr>
  </w:style>
  <w:style w:type="paragraph" w:styleId="Heading3">
    <w:name w:val="Heading 3"/>
    <w:basedOn w:val="Normal"/>
    <w:next w:val="Normal"/>
    <w:qFormat/>
    <w:pPr>
      <w:keepNext w:val="true"/>
      <w:spacing w:lineRule="auto" w:line="276" w:before="0" w:after="200"/>
      <w:outlineLvl w:val="2"/>
    </w:pPr>
    <w:rPr>
      <w:rFonts w:ascii="Calibri" w:hAnsi="Calibri" w:eastAsia="Calibri"/>
      <w:sz w:val="18"/>
      <w:szCs w:val="22"/>
      <w:u w:val="single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rPr/>
  </w:style>
  <w:style w:type="character" w:styleId="Hyperlink">
    <w:name w:val="Hyperlink"/>
    <w:uiPriority w:val="99"/>
    <w:rPr>
      <w:color w:val="0000FF"/>
      <w:u w:val="single"/>
    </w:rPr>
  </w:style>
  <w:style w:type="character" w:styleId="CorpsdetexteCar" w:customStyle="1">
    <w:name w:val="Corps de texte Car"/>
    <w:uiPriority w:val="99"/>
    <w:semiHidden/>
    <w:qFormat/>
    <w:rsid w:val="0013740b"/>
    <w:rPr>
      <w:sz w:val="24"/>
      <w:szCs w:val="24"/>
    </w:rPr>
  </w:style>
  <w:style w:type="character" w:styleId="SubtleReference">
    <w:name w:val="Subtle Reference"/>
    <w:uiPriority w:val="31"/>
    <w:qFormat/>
    <w:rsid w:val="009a6fbe"/>
    <w:rPr>
      <w:b/>
      <w:bCs/>
      <w:color w:val="4F81BD"/>
    </w:rPr>
  </w:style>
  <w:style w:type="character" w:styleId="TextedebullesCar" w:customStyle="1">
    <w:name w:val="Texte de bulles Car"/>
    <w:link w:val="BalloonText"/>
    <w:uiPriority w:val="99"/>
    <w:semiHidden/>
    <w:qFormat/>
    <w:rsid w:val="00d8544b"/>
    <w:rPr>
      <w:rFonts w:ascii="Segoe UI" w:hAnsi="Segoe UI" w:cs="Segoe UI"/>
      <w:sz w:val="18"/>
      <w:szCs w:val="18"/>
    </w:rPr>
  </w:style>
  <w:style w:type="character" w:styleId="UnresolvedMention">
    <w:name w:val="Unresolved Mention"/>
    <w:uiPriority w:val="99"/>
    <w:semiHidden/>
    <w:unhideWhenUsed/>
    <w:qFormat/>
    <w:rsid w:val="00c82f0e"/>
    <w:rPr>
      <w:color w:val="605E5C"/>
      <w:shd w:fill="E1DFDD" w:val="clear"/>
    </w:rPr>
  </w:style>
  <w:style w:type="character" w:styleId="markedcontent" w:customStyle="1">
    <w:name w:val="markedcontent"/>
    <w:basedOn w:val="DefaultParagraphFont"/>
    <w:qFormat/>
    <w:rsid w:val="004108ec"/>
    <w:rPr/>
  </w:style>
  <w:style w:type="character" w:styleId="En-tteCar" w:customStyle="1">
    <w:name w:val="En-tête Car"/>
    <w:uiPriority w:val="99"/>
    <w:qFormat/>
    <w:rsid w:val="00265fea"/>
    <w:rPr>
      <w:sz w:val="24"/>
      <w:szCs w:val="24"/>
    </w:rPr>
  </w:style>
  <w:style w:type="character" w:styleId="PieddepageCar" w:customStyle="1">
    <w:name w:val="Pied de page Car"/>
    <w:uiPriority w:val="99"/>
    <w:qFormat/>
    <w:rsid w:val="00355330"/>
    <w:rPr>
      <w:sz w:val="24"/>
      <w:szCs w:val="24"/>
    </w:rPr>
  </w:style>
  <w:style w:type="character" w:styleId="FollowedHyperlink">
    <w:name w:val="FollowedHyperlink"/>
    <w:uiPriority w:val="99"/>
    <w:semiHidden/>
    <w:unhideWhenUsed/>
    <w:rsid w:val="00ed766e"/>
    <w:rPr>
      <w:color w:val="954F72"/>
      <w:u w:val="single"/>
    </w:rPr>
  </w:style>
  <w:style w:type="character" w:styleId="Emphasis">
    <w:name w:val="Emphasis"/>
    <w:uiPriority w:val="20"/>
    <w:qFormat/>
    <w:rsid w:val="00ef5428"/>
    <w:rPr>
      <w:i/>
      <w:i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uiPriority w:val="99"/>
    <w:semiHidden/>
    <w:unhideWhenUsed/>
    <w:rsid w:val="0013740b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21" w:customStyle="1">
    <w:name w:val="Body Text 21"/>
    <w:basedOn w:val="Normal"/>
    <w:qFormat/>
    <w:rsid w:val="00cc5efe"/>
    <w:pPr>
      <w:tabs>
        <w:tab w:val="clear" w:pos="708"/>
        <w:tab w:val="left" w:pos="3119" w:leader="hyphen"/>
      </w:tabs>
      <w:ind w:hanging="113" w:left="113"/>
    </w:pPr>
    <w:rPr>
      <w:rFonts w:ascii="Garamond" w:hAnsi="Garamond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2a44bd"/>
    <w:pPr>
      <w:spacing w:before="0" w:after="0"/>
      <w:ind w:left="720"/>
      <w:contextualSpacing/>
    </w:pPr>
    <w:rPr/>
  </w:style>
  <w:style w:type="paragraph" w:styleId="Default" w:customStyle="1">
    <w:name w:val="Default"/>
    <w:qFormat/>
    <w:rsid w:val="00b34361"/>
    <w:pPr>
      <w:widowControl/>
      <w:suppressAutoHyphens w:val="true"/>
      <w:bidi w:val="0"/>
      <w:spacing w:before="0" w:after="0"/>
      <w:jc w:val="left"/>
    </w:pPr>
    <w:rPr>
      <w:rFonts w:ascii="Lucida Sans Unicode" w:hAnsi="Lucida Sans Unicode" w:eastAsia="Times New Roman" w:cs="Lucida Sans Unicode"/>
      <w:color w:val="000000"/>
      <w:kern w:val="0"/>
      <w:sz w:val="24"/>
      <w:szCs w:val="24"/>
      <w:lang w:val="fr-FR" w:eastAsia="fr-FR" w:bidi="ar-SA"/>
    </w:rPr>
  </w:style>
  <w:style w:type="paragraph" w:styleId="Tche" w:customStyle="1">
    <w:name w:val="Tâche"/>
    <w:basedOn w:val="Normal"/>
    <w:autoRedefine/>
    <w:qFormat/>
    <w:rsid w:val="0013740b"/>
    <w:pPr>
      <w:numPr>
        <w:ilvl w:val="0"/>
        <w:numId w:val="1"/>
      </w:numPr>
      <w:spacing w:before="120" w:after="0"/>
      <w:jc w:val="both"/>
    </w:pPr>
    <w:rPr>
      <w:rFonts w:ascii="Arial" w:hAnsi="Arial" w:cs="Arial"/>
      <w:sz w:val="22"/>
      <w:szCs w:val="22"/>
    </w:rPr>
  </w:style>
  <w:style w:type="paragraph" w:styleId="Sous-tche" w:customStyle="1">
    <w:name w:val="Sous-tâche"/>
    <w:basedOn w:val="Normal"/>
    <w:autoRedefine/>
    <w:qFormat/>
    <w:rsid w:val="0013740b"/>
    <w:pPr>
      <w:widowControl w:val="false"/>
      <w:numPr>
        <w:ilvl w:val="0"/>
        <w:numId w:val="2"/>
      </w:numPr>
      <w:tabs>
        <w:tab w:val="clear" w:pos="708"/>
        <w:tab w:val="right" w:pos="10490" w:leader="none"/>
      </w:tabs>
      <w:spacing w:before="60" w:after="0"/>
      <w:jc w:val="both"/>
    </w:pPr>
    <w:rPr>
      <w:rFonts w:ascii="Arial" w:hAnsi="Arial" w:cs="Arial"/>
      <w:sz w:val="16"/>
      <w:lang w:val="en-GB"/>
    </w:rPr>
  </w:style>
  <w:style w:type="paragraph" w:styleId="INTITULREFPROJET" w:customStyle="1">
    <w:name w:val="INTITULÉ/REF PROJET"/>
    <w:qFormat/>
    <w:rsid w:val="0013740b"/>
    <w:pPr>
      <w:widowControl w:val="false"/>
      <w:tabs>
        <w:tab w:val="clear" w:pos="708"/>
        <w:tab w:val="right" w:pos="10490" w:leader="none"/>
      </w:tabs>
      <w:suppressAutoHyphens w:val="true"/>
      <w:bidi w:val="0"/>
      <w:spacing w:before="0" w:after="0"/>
      <w:jc w:val="both"/>
    </w:pPr>
    <w:rPr>
      <w:rFonts w:ascii="Arial" w:hAnsi="Arial" w:eastAsia="Times New Roman" w:cs="Arial"/>
      <w:b/>
      <w:iCs/>
      <w:color w:val="000000"/>
      <w:kern w:val="0"/>
      <w:sz w:val="16"/>
      <w:szCs w:val="24"/>
      <w:lang w:val="fr-FR" w:eastAsia="fr-FR" w:bidi="ar-SA"/>
    </w:rPr>
  </w:style>
  <w:style w:type="paragraph" w:styleId="Paragraphedeliste2" w:customStyle="1">
    <w:name w:val="Paragraphe de liste 2"/>
    <w:basedOn w:val="ListParagraph"/>
    <w:qFormat/>
    <w:rsid w:val="0013740b"/>
    <w:pPr>
      <w:numPr>
        <w:ilvl w:val="1"/>
        <w:numId w:val="3"/>
      </w:numPr>
    </w:pPr>
    <w:rPr>
      <w:rFonts w:ascii="Arial" w:hAnsi="Arial" w:eastAsia="MS Gothic" w:cs="Arial"/>
      <w:iCs/>
      <w:color w:val="292929"/>
      <w:sz w:val="22"/>
      <w:szCs w:val="22"/>
      <w:lang w:val="fr-BE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d8544b"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0f6edb"/>
    <w:pPr>
      <w:spacing w:beforeAutospacing="1" w:afterAutospacing="1"/>
    </w:pPr>
    <w:rPr/>
  </w:style>
  <w:style w:type="paragraph" w:styleId="Contenudecadre">
    <w:name w:val="Contenu de cadre"/>
    <w:basedOn w:val="Normal"/>
    <w:qFormat/>
    <w:pPr/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C9B16D5F44342850AAF6F7A657EE2" ma:contentTypeVersion="13" ma:contentTypeDescription="Crée un document." ma:contentTypeScope="" ma:versionID="3dfd0ed4f7a1ffb00a66e6020b776702">
  <xsd:schema xmlns:xsd="http://www.w3.org/2001/XMLSchema" xmlns:xs="http://www.w3.org/2001/XMLSchema" xmlns:p="http://schemas.microsoft.com/office/2006/metadata/properties" xmlns:ns2="24951bd1-abaf-4ce5-abfd-d427fc0f1947" xmlns:ns3="bdbad5c6-c323-4ecc-a7f0-445736588319" targetNamespace="http://schemas.microsoft.com/office/2006/metadata/properties" ma:root="true" ma:fieldsID="9e2d2818ac17038ee33c8c7108338d1b" ns2:_="" ns3:_="">
    <xsd:import namespace="24951bd1-abaf-4ce5-abfd-d427fc0f1947"/>
    <xsd:import namespace="bdbad5c6-c323-4ecc-a7f0-445736588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51bd1-abaf-4ce5-abfd-d427fc0f19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ad5c6-c323-4ecc-a7f0-4457365883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10D3F5-98DD-4C9C-A2EC-99AF8C17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951bd1-abaf-4ce5-abfd-d427fc0f1947"/>
    <ds:schemaRef ds:uri="bdbad5c6-c323-4ecc-a7f0-4457365883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381856-7B3A-419B-AE55-07EF15B446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D0E240-7E6B-4E54-A8D6-40E876E01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63A018-813C-488E-8021-00AAA46C4A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Application>LibreOffice/24.2.7.2$Linux_X86_64 LibreOffice_project/420$Build-2</Application>
  <AppVersion>15.0000</AppVersion>
  <Pages>1</Pages>
  <Words>226</Words>
  <Characters>1081</Characters>
  <CharactersWithSpaces>1266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2024-09-09T14:01:00Z</dcterms:created>
  <dc:creator>AB</dc:creator>
  <dc:description/>
  <dc:language>fr-FR</dc:language>
  <cp:lastModifiedBy/>
  <cp:lastPrinted>2021-06-14T18:36:00Z</cp:lastPrinted>
  <dcterms:modified xsi:type="dcterms:W3CDTF">2025-11-17T12:28:37Z</dcterms:modified>
  <cp:revision>212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