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9"/>
        <w:rPr>
          <w:rFonts w:ascii="Calibri" w:hAnsi="Calibri"/>
        </w:rPr>
      </w:pPr>
      <w:r>
        <w:rPr/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posOffset>193675</wp:posOffset>
            </wp:positionH>
            <wp:positionV relativeFrom="paragraph">
              <wp:posOffset>-678180</wp:posOffset>
            </wp:positionV>
            <wp:extent cx="1070610" cy="647700"/>
            <wp:effectExtent l="0" t="0" r="0" b="0"/>
            <wp:wrapSquare wrapText="largest"/>
            <wp:docPr id="100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16021" t="29775" r="19107" b="309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061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inline distT="0" distB="0" distL="0" distR="0" wp14:anchorId="2B8C2465">
                <wp:extent cx="6494145" cy="309880"/>
                <wp:effectExtent l="11430" t="7620" r="257175" b="6350"/>
                <wp:docPr id="1002" name="Zone de text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700">
                          <a:solidFill>
                            <a:srgbClr val="02466d"/>
                          </a:solidFill>
                          <a:round/>
                        </a:ln>
                        <a:effectLst>
                          <a:outerShdw kx="-2453608" rotWithShape="0" sy="50000">
                            <a:srgbClr val="b4c6e7">
                              <a:alpha val="50000"/>
                            </a:srgbClr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DOMAINES DE COMPÉTENCES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2060"/>
          <w:sz w:val="18"/>
          <w:szCs w:val="18"/>
        </w:rPr>
        <w:t xml:space="preserve"/>
      </w:r>
    </w:p>
    <w:p>
      <w:pPr>
        <w:pStyle w:val="Normal"/>
        <w:numPr>
          <w:ilvl w:val="0"/>
          <w:numId w:val="6"/>
        </w:numPr>
        <w:rPr>
          <w:rFonts w:ascii="Calibri" w:hAnsi="Calibri"/>
          <w:color w:val="002060"/>
          <w:sz w:val="18"/>
          <w:szCs w:val="18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2060"/>
          <w:sz w:val="18"/>
          <w:szCs w:val="18"/>
        </w:rPr>
        <w:t xml:space="preserve">Maîtrise des normes ESD et des exigences de propreté en salle blanche ISO 5 et ISO 7, avec une application rigoureuse des procédures et de la méthode 5S.</w:t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2060"/>
          <w:sz w:val="18"/>
          <w:szCs w:val="18"/>
        </w:rPr>
        <w:t xml:space="preserve"/>
      </w:r>
    </w:p>
    <w:p>
      <w:pPr>
        <w:pStyle w:val="Normal"/>
        <w:numPr>
          <w:ilvl w:val="0"/>
          <w:numId w:val="6"/>
        </w:numPr>
        <w:rPr>
          <w:rFonts w:ascii="Calibri" w:hAnsi="Calibri"/>
          <w:color w:val="002060"/>
          <w:sz w:val="18"/>
          <w:szCs w:val="18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2060"/>
          <w:sz w:val="18"/>
          <w:szCs w:val="18"/>
        </w:rPr>
        <w:t xml:space="preserve">Lecture et interprétation de plans de montage, plans mécaniques, fiches suiveuses et nomenclatures pour assurer un câblage conforme aux spécifications.</w:t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2060"/>
          <w:sz w:val="18"/>
          <w:szCs w:val="18"/>
        </w:rPr>
        <w:t xml:space="preserve"/>
      </w:r>
    </w:p>
    <w:p>
      <w:pPr>
        <w:pStyle w:val="Normal"/>
        <w:numPr>
          <w:ilvl w:val="0"/>
          <w:numId w:val="6"/>
        </w:numPr>
        <w:rPr>
          <w:rFonts w:ascii="Calibri" w:hAnsi="Calibri"/>
          <w:color w:val="002060"/>
          <w:sz w:val="18"/>
          <w:szCs w:val="18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2060"/>
          <w:sz w:val="18"/>
          <w:szCs w:val="18"/>
        </w:rPr>
        <w:t xml:space="preserve">Utilisation d’ERP (Industria et Divalto) pour le suivi de la production, la traçabilité des pièces et la gestion des stocks.</w:t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2060"/>
          <w:sz w:val="18"/>
          <w:szCs w:val="18"/>
        </w:rPr>
        <w:t xml:space="preserve"/>
      </w:r>
    </w:p>
    <w:p>
      <w:pPr>
        <w:pStyle w:val="Normal"/>
        <w:numPr>
          <w:ilvl w:val="0"/>
          <w:numId w:val="6"/>
        </w:numPr>
        <w:rPr>
          <w:rFonts w:ascii="Calibri" w:hAnsi="Calibri"/>
          <w:color w:val="002060"/>
          <w:sz w:val="18"/>
          <w:szCs w:val="18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2060"/>
          <w:sz w:val="18"/>
          <w:szCs w:val="18"/>
        </w:rPr>
        <w:t xml:space="preserve">Câblage microélectronique avec différents alliages (Sn62Pb36Ag2, Sn63Pb37, Sn96Ag4, Sn91,5Sb8,5, Sn5Pb93,5Ag1,5) et réalisation de billage manuel, de microsoudures sous binoculaire et de dédorage/étamage.</w:t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2060"/>
          <w:sz w:val="18"/>
          <w:szCs w:val="18"/>
        </w:rPr>
        <w:t xml:space="preserve"/>
      </w:r>
    </w:p>
    <w:p>
      <w:pPr>
        <w:pStyle w:val="Normal"/>
        <w:numPr>
          <w:ilvl w:val="0"/>
          <w:numId w:val="6"/>
        </w:numPr>
        <w:rPr>
          <w:rFonts w:ascii="Calibri" w:hAnsi="Calibri"/>
          <w:color w:val="002060"/>
          <w:sz w:val="18"/>
          <w:szCs w:val="18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2060"/>
          <w:sz w:val="18"/>
          <w:szCs w:val="18"/>
        </w:rPr>
        <w:t xml:space="preserve">Contrôle qualité visuel et fonctionnel des cartes électroniques, incluant la vérification du sens des composants, l’inspection des soudures BGA et les tests de continuité avec multimètre ou testeur dédié.</w:t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2060"/>
          <w:sz w:val="18"/>
          <w:szCs w:val="18"/>
        </w:rPr>
        <w:t xml:space="preserve"/>
      </w:r>
    </w:p>
    <w:p>
      <w:pPr>
        <w:pStyle w:val="Normal"/>
        <w:numPr>
          <w:ilvl w:val="0"/>
          <w:numId w:val="6"/>
        </w:numPr>
        <w:rPr>
          <w:rFonts w:ascii="Calibri" w:hAnsi="Calibri"/>
          <w:color w:val="002060"/>
          <w:sz w:val="18"/>
          <w:szCs w:val="18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2060"/>
          <w:sz w:val="18"/>
          <w:szCs w:val="18"/>
        </w:rPr>
        <w:t xml:space="preserve">Réalisation d’opérations de préparation des composants (redressement, étamage, sablage) et d’étanchéité des circuits à l’aide de résine appliquée par seringue.</w:t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2060"/>
          <w:sz w:val="18"/>
          <w:szCs w:val="18"/>
        </w:rPr>
        <w:t xml:space="preserve"/>
      </w:r>
    </w:p>
    <w:p>
      <w:pPr>
        <w:pStyle w:val="Normal"/>
        <w:numPr>
          <w:ilvl w:val="0"/>
          <w:numId w:val="6"/>
        </w:numPr>
        <w:rPr>
          <w:rFonts w:ascii="Calibri" w:hAnsi="Calibri"/>
          <w:color w:val="002060"/>
          <w:sz w:val="18"/>
          <w:szCs w:val="18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2060"/>
          <w:sz w:val="18"/>
          <w:szCs w:val="18"/>
        </w:rPr>
        <w:t xml:space="preserve">Formation de nouveaux employés et transmission des bonnes pratiques de fabrication en environnement spatial.</w:t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2060"/>
          <w:sz w:val="18"/>
          <w:szCs w:val="18"/>
        </w:rPr>
        <w:t xml:space="preserve"/>
      </w:r>
    </w:p>
    <w:p>
      <w:pPr>
        <w:pStyle w:val="Normal"/>
        <w:rPr>
          <w:rFonts w:ascii="Calibri" w:hAnsi="Calibri"/>
        </w:rPr>
      </w:pPr>
      <w:r>
        <w:rPr/>
        <mc:AlternateContent>
          <mc:Choice Requires="wps">
            <w:drawing>
              <wp:inline distT="0" distB="0" distL="0" distR="0" wp14:anchorId="2B8C2465">
                <wp:extent cx="6494145" cy="309880"/>
                <wp:effectExtent l="11430" t="7620" r="257175" b="6350"/>
                <wp:docPr id="1003" name="Zone de text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700">
                          <a:solidFill>
                            <a:srgbClr val="02466d"/>
                          </a:solidFill>
                          <a:round/>
                        </a:ln>
                        <a:effectLst>
                          <a:outerShdw kx="-2453608" rotWithShape="0" sy="50000">
                            <a:srgbClr val="b4c6e7">
                              <a:alpha val="50000"/>
                            </a:srgbClr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ÔUTILS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ind w:hanging="0" w:left="0" w:right="0"/>
        <w:jc w:val="lef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/>
      </w:r>
    </w:p>
    <w:p>
      <w:pPr>
        <w:pStyle w:val="Normal"/>
        <w:numPr>
          <w:ilvl w:val="0"/>
          <w:numId w:val="5"/>
        </w:numPr>
        <w:jc w:val="lef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b/>
          <w:bCs/>
          <w:color w:val="002060"/>
          <w:sz w:val="18"/>
          <w:szCs w:val="18"/>
        </w:rPr>
        <w:t xml:space="preserve">ERP de gestion de production:</w:t>
      </w:r>
      <w:r>
        <w:rPr>
          <w:rFonts w:ascii="Calibri" w:hAnsi="Calibri"/>
          <w:color w:val="002060"/>
          <w:sz w:val="18"/>
          <w:szCs w:val="18"/>
        </w:rPr>
        <w:t xml:space="preserve"> Industria, Divalto</w:t>
      </w:r>
    </w:p>
    <w:p>
      <w:pPr>
        <w:pStyle w:val="Normal"/>
        <w:ind w:hanging="0" w:left="0" w:right="0"/>
        <w:jc w:val="lef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/>
      </w:r>
    </w:p>
    <w:p>
      <w:pPr>
        <w:pStyle w:val="Normal"/>
        <w:numPr>
          <w:ilvl w:val="0"/>
          <w:numId w:val="5"/>
        </w:numPr>
        <w:jc w:val="lef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b/>
          <w:bCs/>
          <w:color w:val="002060"/>
          <w:sz w:val="18"/>
          <w:szCs w:val="18"/>
        </w:rPr>
        <w:t xml:space="preserve">Équipements de soudure et de traitement:</w:t>
      </w:r>
      <w:r>
        <w:rPr>
          <w:rFonts w:ascii="Calibri" w:hAnsi="Calibri"/>
          <w:color w:val="002060"/>
          <w:sz w:val="18"/>
          <w:szCs w:val="18"/>
        </w:rPr>
        <w:t xml:space="preserve"> Fer à souder manuel, Bain d'étamage, Station de dédorage, Microscope binoculaire</w:t>
      </w:r>
    </w:p>
    <w:p>
      <w:pPr>
        <w:pStyle w:val="Normal"/>
        <w:ind w:hanging="0" w:left="0" w:right="0"/>
        <w:jc w:val="lef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/>
      </w:r>
    </w:p>
    <w:p>
      <w:pPr>
        <w:pStyle w:val="Normal"/>
        <w:numPr>
          <w:ilvl w:val="0"/>
          <w:numId w:val="5"/>
        </w:numPr>
        <w:jc w:val="lef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b/>
          <w:bCs/>
          <w:color w:val="002060"/>
          <w:sz w:val="18"/>
          <w:szCs w:val="18"/>
        </w:rPr>
        <w:t xml:space="preserve">Outils de mesure et de test:</w:t>
      </w:r>
      <w:r>
        <w:rPr>
          <w:rFonts w:ascii="Calibri" w:hAnsi="Calibri"/>
          <w:color w:val="002060"/>
          <w:sz w:val="18"/>
          <w:szCs w:val="18"/>
        </w:rPr>
        <w:t xml:space="preserve"> Multimètre, Testeur de continuité, Analyseur de photos RX pour BGA</w:t>
      </w:r>
    </w:p>
    <w:p>
      <w:pPr>
        <w:pStyle w:val="Normal"/>
        <w:ind w:hanging="0" w:left="0" w:right="0"/>
        <w:jc w:val="lef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/>
      </w:r>
    </w:p>
    <w:p>
      <w:pPr>
        <w:pStyle w:val="Normal"/>
        <w:numPr>
          <w:ilvl w:val="0"/>
          <w:numId w:val="5"/>
        </w:numPr>
        <w:jc w:val="lef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b/>
          <w:bCs/>
          <w:color w:val="002060"/>
          <w:sz w:val="18"/>
          <w:szCs w:val="18"/>
        </w:rPr>
        <w:t xml:space="preserve">Systèmes de traitement laser:</w:t>
      </w:r>
      <w:r>
        <w:rPr>
          <w:rFonts w:ascii="Calibri" w:hAnsi="Calibri"/>
          <w:color w:val="002060"/>
          <w:sz w:val="18"/>
          <w:szCs w:val="18"/>
        </w:rPr>
        <w:t xml:space="preserve"> Laser IR, Laser UV</w:t>
      </w:r>
    </w:p>
    <w:p>
      <w:pPr>
        <w:pStyle w:val="Normal"/>
        <w:ind w:hanging="0" w:left="0" w:right="0"/>
        <w:jc w:val="lef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/>
      </w:r>
    </w:p>
    <w:p>
      <w:pPr>
        <w:pStyle w:val="Normal"/>
        <w:numPr>
          <w:ilvl w:val="0"/>
          <w:numId w:val="5"/>
        </w:numPr>
        <w:jc w:val="lef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b/>
          <w:bCs/>
          <w:color w:val="002060"/>
          <w:sz w:val="18"/>
          <w:szCs w:val="18"/>
        </w:rPr>
        <w:t xml:space="preserve">Matériel de protection et de propreté:</w:t>
      </w:r>
      <w:r>
        <w:rPr>
          <w:rFonts w:ascii="Calibri" w:hAnsi="Calibri"/>
          <w:color w:val="002060"/>
          <w:sz w:val="18"/>
          <w:szCs w:val="18"/>
        </w:rPr>
        <w:t xml:space="preserve"> Équipement ESD, Salle blanche ISO 5/7</w:t>
      </w:r>
    </w:p>
    <w:p>
      <w:pPr>
        <w:pStyle w:val="Normal"/>
        <w:ind w:hanging="0" w:left="0" w:right="0"/>
        <w:jc w:val="lef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/>
      </w:r>
    </w:p>
    <w:p>
      <w:pPr>
        <w:pStyle w:val="Normal"/>
        <w:spacing w:before="0" w:after="19"/>
        <w:rPr>
          <w:rFonts w:ascii="Calibri" w:hAnsi="Calibri"/>
        </w:rPr>
      </w:pPr>
      <w:r>
        <w:rPr/>
        <mc:AlternateContent>
          <mc:Choice Requires="wps">
            <w:drawing>
              <wp:inline distT="0" distB="0" distL="0" distR="0" wp14:anchorId="2B8C2465">
                <wp:extent cx="6494145" cy="309880"/>
                <wp:effectExtent l="11430" t="7620" r="257175" b="6350"/>
                <wp:docPr id="1004" name="Zone de text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700">
                          <a:solidFill>
                            <a:srgbClr val="02466d"/>
                          </a:solidFill>
                          <a:round/>
                        </a:ln>
                        <a:effectLst>
                          <a:outerShdw kx="-2453608" rotWithShape="0" sy="50000">
                            <a:srgbClr val="b4c6e7">
                              <a:alpha val="50000"/>
                            </a:srgbClr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SECTEURS D’ACTIVITÉ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spacing w:before="0" w:after="19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/>
      </w:r>
    </w:p>
    <w:p>
      <w:pPr>
        <w:pStyle w:val="Normal"/>
        <w:numPr>
          <w:ilvl w:val="0"/>
          <w:numId w:val="7"/>
        </w:numPr>
        <w:spacing w:before="0" w:after="19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Aérospatial</w:t>
      </w:r>
    </w:p>
    <w:p>
      <w:pPr>
        <w:pStyle w:val="Normal"/>
        <w:spacing w:before="0" w:after="19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/>
      </w:r>
    </w:p>
    <w:p>
      <w:pPr>
        <w:pStyle w:val="Normal"/>
        <w:rPr>
          <w:rFonts w:ascii="Calibri" w:hAnsi="Calibri"/>
        </w:rPr>
      </w:pPr>
      <w:r>
        <w:rPr/>
        <mc:AlternateContent>
          <mc:Choice Requires="wps">
            <w:drawing>
              <wp:inline distT="0" distB="0" distL="0" distR="0" wp14:anchorId="261286E2">
                <wp:extent cx="6494145" cy="309880"/>
                <wp:effectExtent l="11430" t="9525" r="257175" b="13970"/>
                <wp:docPr id="1005" name="Zone de text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700">
                          <a:solidFill>
                            <a:srgbClr val="02466d"/>
                          </a:solidFill>
                          <a:round/>
                        </a:ln>
                        <a:effectLst>
                          <a:outerShdw kx="-2453608" rotWithShape="0" sy="50000">
                            <a:srgbClr val="b4c6e7">
                              <a:alpha val="50000"/>
                            </a:srgbClr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DIPLÔMES / FORMATION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/>
      </w:r>
    </w:p>
    <w:p>
      <w:pPr>
        <w:pStyle w:val="Normal"/>
        <w:numPr>
          <w:ilvl w:val="0"/>
          <w:numId w:val="8"/>
        </w:numPr>
        <w:rPr>
          <w:rFonts w:ascii="Calibri" w:hAnsi="Calibri"/>
          <w:b/>
          <w:bCs/>
          <w:color w:val="002060"/>
          <w:sz w:val="18"/>
          <w:szCs w:val="18"/>
        </w:rPr>
      </w:pPr>
      <w:r>
        <w:rPr>
          <w:rFonts w:ascii="Calibri" w:hAnsi="Calibri"/>
          <w:b/>
          <w:bCs/>
          <w:color w:val="002060"/>
          <w:sz w:val="18"/>
          <w:szCs w:val="18"/>
        </w:rPr>
        <w:t xml:space="preserve">Brasage manuel selon les normes spatiales</w:t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/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/>
      </w:r>
    </w:p>
    <w:p>
      <w:pPr>
        <w:pStyle w:val="Normal"/>
        <w:numPr>
          <w:ilvl w:val="0"/>
          <w:numId w:val="8"/>
        </w:numPr>
        <w:rPr>
          <w:rFonts w:ascii="Calibri" w:hAnsi="Calibri"/>
          <w:b/>
          <w:bCs/>
          <w:color w:val="002060"/>
          <w:sz w:val="18"/>
          <w:szCs w:val="18"/>
        </w:rPr>
      </w:pPr>
      <w:r>
        <w:rPr>
          <w:rFonts w:ascii="Calibri" w:hAnsi="Calibri"/>
          <w:b/>
          <w:bCs/>
          <w:color w:val="002060"/>
          <w:sz w:val="18"/>
          <w:szCs w:val="18"/>
        </w:rPr>
        <w:t xml:space="preserve">Prévention des risques chimiques</w:t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/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/>
      </w:r>
    </w:p>
    <w:p>
      <w:pPr>
        <w:pStyle w:val="Normal"/>
        <w:numPr>
          <w:ilvl w:val="0"/>
          <w:numId w:val="8"/>
        </w:numPr>
        <w:rPr>
          <w:rFonts w:ascii="Calibri" w:hAnsi="Calibri"/>
          <w:b/>
          <w:bCs/>
          <w:color w:val="002060"/>
          <w:sz w:val="18"/>
          <w:szCs w:val="18"/>
        </w:rPr>
      </w:pPr>
      <w:r>
        <w:rPr>
          <w:rFonts w:ascii="Calibri" w:hAnsi="Calibri"/>
          <w:b/>
          <w:bCs/>
          <w:color w:val="002060"/>
          <w:sz w:val="18"/>
          <w:szCs w:val="18"/>
        </w:rPr>
        <w:t xml:space="preserve">Utilisation et manipulation d'une binoculaire</w:t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  SFM</w:t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/>
      </w:r>
    </w:p>
    <w:p>
      <w:pPr>
        <w:pStyle w:val="Normal"/>
        <w:numPr>
          <w:ilvl w:val="0"/>
          <w:numId w:val="8"/>
        </w:numPr>
        <w:rPr>
          <w:rFonts w:ascii="Calibri" w:hAnsi="Calibri"/>
          <w:b/>
          <w:bCs/>
          <w:color w:val="002060"/>
          <w:sz w:val="18"/>
          <w:szCs w:val="18"/>
        </w:rPr>
      </w:pPr>
      <w:r>
        <w:rPr>
          <w:rFonts w:ascii="Calibri" w:hAnsi="Calibri"/>
          <w:b/>
          <w:bCs/>
          <w:color w:val="002060"/>
          <w:sz w:val="18"/>
          <w:szCs w:val="18"/>
        </w:rPr>
        <w:t xml:space="preserve">Certification ESA en Brasage manuel au fer en spatial – norme ECSS-Q-ST-70-38 (CMS‑ESA)</w:t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  ESA</w:t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/>
      </w:r>
    </w:p>
    <w:p>
      <w:pPr>
        <w:pStyle w:val="Normal"/>
        <w:numPr>
          <w:ilvl w:val="0"/>
          <w:numId w:val="8"/>
        </w:numPr>
        <w:rPr>
          <w:rFonts w:ascii="Calibri" w:hAnsi="Calibri"/>
          <w:b/>
          <w:bCs/>
          <w:color w:val="002060"/>
          <w:sz w:val="18"/>
          <w:szCs w:val="18"/>
        </w:rPr>
      </w:pPr>
      <w:r>
        <w:rPr>
          <w:rFonts w:ascii="Calibri" w:hAnsi="Calibri"/>
          <w:b/>
          <w:bCs/>
          <w:color w:val="002060"/>
          <w:sz w:val="18"/>
          <w:szCs w:val="18"/>
        </w:rPr>
        <w:t xml:space="preserve">Certification ESA en Brasage manuel au fer en spatial – norme ECSS-Q-ST-70-61C (Traversant et Filaire)</w:t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  ESA</w:t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/>
      </w:r>
    </w:p>
    <w:p>
      <w:pPr>
        <w:pStyle w:val="Normal"/>
        <w:numPr>
          <w:ilvl w:val="0"/>
          <w:numId w:val="8"/>
        </w:numPr>
        <w:rPr>
          <w:rFonts w:ascii="Calibri" w:hAnsi="Calibri"/>
          <w:b/>
          <w:bCs/>
          <w:color w:val="002060"/>
          <w:sz w:val="18"/>
          <w:szCs w:val="18"/>
        </w:rPr>
      </w:pPr>
      <w:r>
        <w:rPr>
          <w:rFonts w:ascii="Calibri" w:hAnsi="Calibri"/>
          <w:b/>
          <w:bCs/>
          <w:color w:val="002060"/>
          <w:sz w:val="18"/>
          <w:szCs w:val="18"/>
        </w:rPr>
        <w:t xml:space="preserve">Formateur câblage</w:t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/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/>
      </w:r>
    </w:p>
    <w:p>
      <w:pPr>
        <w:pStyle w:val="Normal"/>
        <w:rPr>
          <w:rFonts w:ascii="Calibri" w:hAnsi="Calibri"/>
        </w:rPr>
      </w:pPr>
      <w:r>
        <w:rPr/>
        <mc:AlternateContent>
          <mc:Choice Requires="wps">
            <w:drawing>
              <wp:inline distT="0" distB="0" distL="0" distR="0" wp14:anchorId="321EBBB5">
                <wp:extent cx="6494145" cy="309880"/>
                <wp:effectExtent l="11430" t="10795" r="257175" b="12700"/>
                <wp:docPr id="1006" name="Zone de text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700">
                          <a:solidFill>
                            <a:srgbClr val="02466d"/>
                          </a:solidFill>
                          <a:round/>
                        </a:ln>
                        <a:effectLst>
                          <a:outerShdw kx="-2453608" rotWithShape="0" sy="50000">
                            <a:srgbClr val="b4c6e7">
                              <a:alpha val="50000"/>
                            </a:srgbClr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LANGUES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/>
      </w:r>
    </w:p>
    <w:p>
      <w:pPr>
        <w:pStyle w:val="BodyText"/>
        <w:rPr>
          <w:rFonts w:ascii="Calibri" w:hAnsi="Calibri"/>
        </w:rPr>
      </w:pPr>
      <w:r>
        <w:rPr/>
        <mc:AlternateContent>
          <mc:Choice Requires="wps">
            <w:drawing>
              <wp:inline distT="0" distB="0" distL="0" distR="0" wp14:anchorId="321EBBB5">
                <wp:extent cx="6494145" cy="309880"/>
                <wp:effectExtent l="11430" t="10795" r="257175" b="12700"/>
                <wp:docPr id="1007" name="Zone de text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700">
                          <a:solidFill>
                            <a:srgbClr val="02466d"/>
                          </a:solidFill>
                          <a:round/>
                        </a:ln>
                        <a:effectLst>
                          <a:outerShdw kx="-2453608" rotWithShape="0" sy="50000">
                            <a:srgbClr val="b4c6e7">
                              <a:alpha val="50000"/>
                            </a:srgbClr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2060"/>
          <w:sz w:val="18"/>
          <w:szCs w:val="18"/>
        </w:rPr>
        <w:t xml:space="preserve"/>
      </w:r>
      <w:r>
        <w:rPr>
          <w:rFonts w:cs="Calibri" w:ascii="Calibri" w:hAnsi="Calibri"/>
          <w:b/>
          <w:bCs/>
          <w:i w:val="false"/>
          <w:iCs w:val="false"/>
          <w:color w:val="002060"/>
          <w:sz w:val="18"/>
          <w:szCs w:val="18"/>
        </w:rPr>
        <w:t xml:space="preserve">3D PLUS</w:t>
      </w:r>
      <w:r>
        <w:rPr>
          <w:rFonts w:cs="Calibri" w:ascii="Calibri" w:hAnsi="Calibri"/>
          <w:b w:val="false"/>
          <w:bCs w:val="false"/>
          <w:i w:val="false"/>
          <w:iCs w:val="false"/>
          <w:color w:val="002060"/>
          <w:sz w:val="18"/>
          <w:szCs w:val="18"/>
        </w:rPr>
        <w:t xml:space="preserve"> </w:t>
        <w:tab/>
        <w:t xml:space="preserve"> </w:t>
        <w:tab/>
        <w:tab/>
        <w:t xml:space="preserve">2020 - présent  5 ans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mc:AlternateContent>
          <mc:Choice Requires="wps">
            <w:drawing>
              <wp:anchor behindDoc="0" distT="635" distB="635" distL="635" distR="635" simplePos="0" locked="0" layoutInCell="1" allowOverlap="1" relativeHeight="19">
                <wp:simplePos x="0" y="0"/>
                <wp:positionH relativeFrom="column">
                  <wp:posOffset>12065</wp:posOffset>
                </wp:positionH>
                <wp:positionV relativeFrom="paragraph">
                  <wp:posOffset>-15875</wp:posOffset>
                </wp:positionV>
                <wp:extent cx="6500495" cy="8255"/>
                <wp:effectExtent l="635" t="635" r="635" b="635"/>
                <wp:wrapNone/>
                <wp:docPr id="1008" name="Lig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0520" cy="82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95pt,-1.25pt" to="512.75pt,-0.65pt" ID="Ligne 1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numPr>
          <w:ilvl w:val="0"/>
          <w:numId w:val="4"/>
        </w:numPr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b/>
          <w:bCs/>
          <w:color w:val="002060"/>
          <w:sz w:val="18"/>
          <w:szCs w:val="18"/>
        </w:rPr>
        <w:t xml:space="preserve">Câbleur Microélectronique dans le Spatial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b w:val="false"/>
          <w:bCs w:val="false"/>
          <w:color w:val="002060"/>
          <w:sz w:val="18"/>
          <w:szCs w:val="18"/>
        </w:rPr>
        <w:t xml:space="preserve"/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b w:val="false"/>
          <w:bCs w:val="false"/>
          <w:color w:val="002060"/>
          <w:sz w:val="18"/>
          <w:szCs w:val="18"/>
        </w:rPr>
        <w:t xml:space="preserve"/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• Identifier l'implantation des composants à partir d'un schéma électronique ou d'un plan de câblage.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• Vérifier les composants avant le câblage.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• Câbler avec différents alliages : Sn62Pb36Ag2, Sn63Pb37, Sn96Ag4, Sn91,5Sb8,5, Sn5Pb93,5Ag1,5 (haute température).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• Placer et braser manuellement des composants CMS, traversants et filaires.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• Réaliser un billage manuel sur une carte électronique.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• Effectuer des retouches et/ou réparations selon les défauts identifiés sur une carte.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• Réaliser des microsoudures au fer à souder sous binoculaire.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• Réaliser le dédorage et l’étamage des composants au fer à souder ou au bain.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• Réaliser le dédorage et l’étamage des cartes électroniques au fer.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• Contrôler visuellement la conformité des cartes électroniques (sens des composants, aspect de la brasure…) selon les critères du spatial.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• Contrôler les photos RX pour les composants BGA (billes).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• Tester la continuité des cartes électroniques avec un testeur ou un multimètre.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• Travailler et respecter les conditions d’une salle blanche ISO 7.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• Former les nouveaux employés.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/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2060"/>
          <w:sz w:val="18"/>
          <w:szCs w:val="18"/>
          <w:u w:val="none"/>
        </w:rPr>
        <w:t xml:space="preserve"/>
      </w:r>
    </w:p>
    <w:p>
      <w:pPr>
        <w:pStyle w:val="BodyText"/>
        <w:spacing w:before="0" w:after="120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/>
      </w:r>
      <w:r>
        <w:rPr>
          <w:rFonts w:cs="Calibri" w:ascii="Calibri" w:hAnsi="Calibri"/>
          <w:b/>
          <w:bCs/>
          <w:i w:val="false"/>
          <w:iCs w:val="false"/>
          <w:color w:val="002060"/>
          <w:sz w:val="18"/>
          <w:szCs w:val="18"/>
        </w:rPr>
        <w:t xml:space="preserve">3D PLUS</w:t>
      </w:r>
      <w:r>
        <w:rPr>
          <w:rFonts w:cs="Calibri" w:ascii="Calibri" w:hAnsi="Calibri"/>
          <w:b w:val="false"/>
          <w:bCs w:val="false"/>
          <w:i w:val="false"/>
          <w:iCs w:val="false"/>
          <w:color w:val="002060"/>
          <w:sz w:val="18"/>
          <w:szCs w:val="18"/>
        </w:rPr>
        <w:t xml:space="preserve"> </w:t>
        <w:tab/>
        <w:t xml:space="preserve"> </w:t>
        <w:tab/>
        <w:tab/>
        <w:t xml:space="preserve">2016 - 2020  4 ans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mc:AlternateContent>
          <mc:Choice Requires="wps">
            <w:drawing>
              <wp:anchor behindDoc="0" distT="635" distB="635" distL="635" distR="635" simplePos="0" locked="0" layoutInCell="1" allowOverlap="1" relativeHeight="19">
                <wp:simplePos x="0" y="0"/>
                <wp:positionH relativeFrom="column">
                  <wp:posOffset>12065</wp:posOffset>
                </wp:positionH>
                <wp:positionV relativeFrom="paragraph">
                  <wp:posOffset>-15875</wp:posOffset>
                </wp:positionV>
                <wp:extent cx="6500495" cy="8255"/>
                <wp:effectExtent l="635" t="635" r="635" b="635"/>
                <wp:wrapNone/>
                <wp:docPr id="1009" name="Lig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0520" cy="82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95pt,-1.25pt" to="512.75pt,-0.65pt" ID="Ligne 1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numPr>
          <w:ilvl w:val="0"/>
          <w:numId w:val="4"/>
        </w:numPr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b/>
          <w:bCs/>
          <w:color w:val="002060"/>
          <w:sz w:val="18"/>
          <w:szCs w:val="18"/>
        </w:rPr>
        <w:t xml:space="preserve">Opérateur de production dans le Spatial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b w:val="false"/>
          <w:bCs w:val="false"/>
          <w:color w:val="002060"/>
          <w:sz w:val="18"/>
          <w:szCs w:val="18"/>
        </w:rPr>
        <w:t xml:space="preserve"/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b w:val="false"/>
          <w:bCs w:val="false"/>
          <w:color w:val="002060"/>
          <w:sz w:val="18"/>
          <w:szCs w:val="18"/>
        </w:rPr>
        <w:t xml:space="preserve"/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• Redresser manuellement et automatiquement les pattes des TSOP/TSSOP.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• Étamer les pattes des TSOP/TSSOP au bain.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• Sabler le corps des TSOP/TSSOP.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• Réaliser l’étanchéité des circuits connectiques à l'aide d’une résine déposée à l’aide d’une seringue.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• Empiler les composants TSOP/TSSOP en les collant.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• Empiler des circuits électroniques câblés.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• Enrober les empilages de composants électroniques avec de la résine.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• Ouvrir et sérialiser des circuits imprimés au laser IR et au laser UV.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/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2060"/>
          <w:sz w:val="18"/>
          <w:szCs w:val="18"/>
          <w:u w:val="none"/>
        </w:rPr>
        <w:t xml:space="preserve"/>
      </w:r>
    </w:p>
    <w:p>
      <w:pPr>
        <w:pStyle w:val="BodyText"/>
        <w:spacing w:before="0" w:after="120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/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709" w:right="748" w:gutter="0" w:header="283" w:top="850" w:footer="214" w:bottom="127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aramond">
    <w:charset w:val="01"/>
    <w:family w:val="roman"/>
    <w:pitch w:val="variable"/>
  </w:font>
  <w:font w:name="Lucida Sans Unicode">
    <w:charset w:val="01"/>
    <w:family w:val="roman"/>
    <w:pitch w:val="variable"/>
  </w:font>
  <w:font w:name="Arial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 Sauce Sans Light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mc:AlternateContent>
        <mc:Choice Requires="wps">
          <w:drawing>
            <wp:anchor behindDoc="1" distT="1270" distB="0" distL="1270" distR="0" simplePos="0" locked="0" layoutInCell="0" allowOverlap="1" relativeHeight="13" wp14:anchorId="61C7E1A7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1270" t="1270" r="0" b="0"/>
              <wp:wrapNone/>
              <wp:docPr id="11" name="Rectangle 4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176" coordsize="21600,21600" o:spt="176" path="m,3600qy@5@6l@0,qx@7@5l21600@1qy@8@9l3600,21600qx@6@8xe">
              <v:stroke joinstyle="miter"/>
              <v:formulas>
                <v:f eqn="sum width 0 3600"/>
                <v:f eqn="sum height 0 3600"/>
                <v:f eqn="prod 3600 2929 10000"/>
                <v:f eqn="sum width 0 @2"/>
                <v:f eqn="sum height 0 @2"/>
                <v:f eqn="sum 3600 0 0"/>
                <v:f eqn="sum 0 3600 3600"/>
                <v:f eqn="sum 3600 @0 0"/>
                <v:f eqn="sum 0 21600 3600"/>
                <v:f eqn="sum 3600 @1 0"/>
              </v:formulas>
              <v:path gradientshapeok="t" o:connecttype="rect" textboxrect="@2,@2,@3,@4"/>
            </v:shapetype>
            <v:shape id="shape_0" ID="Rectangle 41" path="l-2147483647,-2147483647l-2147483636,-2147483635l-2147483646,0l-2147483647,-2147483647l-2147483634,-2147483633l-2147483637,-2147483645l-2147483647,-2147483647xe" fillcolor="#02466d" stroked="f" o:allowincell="f" style="position:absolute;margin-left:283.2pt;margin-top:780.65pt;width:28.6pt;height:25.2pt;mso-wrap-style:square;v-text-anchor:bottom;mso-position-horizontal-relative:page;mso-position-vertical-relative:page" wp14:anchorId="61C7E1A7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1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Style w:val="Hyperlink"/>
        <w:rFonts w:cs="Arial" w:ascii="Open Sauce Sans Light" w:hAnsi="Open Sauce Sans Light"/>
        <w:bCs/>
        <w:color w:val="002060"/>
        <w:sz w:val="16"/>
        <w:szCs w:val="16"/>
        <w:lang w:val="it-IT"/>
      </w:rPr>
      <w:t>simon.zana@nava-eng.com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mc:AlternateContent>
        <mc:Choice Requires="wps">
          <w:drawing>
            <wp:anchor behindDoc="1" distT="1270" distB="0" distL="1270" distR="0" simplePos="0" locked="0" layoutInCell="0" allowOverlap="1" relativeHeight="13" wp14:anchorId="61C7E1A7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1270" t="1270" r="0" b="0"/>
              <wp:wrapNone/>
              <wp:docPr id="12" name="Rectangle 4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ID="Rectangle 41" path="l-2147483647,-2147483647l-2147483636,-2147483635l-2147483646,0l-2147483647,-2147483647l-2147483634,-2147483633l-2147483637,-2147483645l-2147483647,-2147483647xe" fillcolor="#02466d" stroked="f" o:allowincell="f" style="position:absolute;margin-left:283.2pt;margin-top:780.65pt;width:28.6pt;height:25.2pt;mso-wrap-style:square;v-text-anchor:bottom;mso-position-horizontal-relative:page;mso-position-vertical-relative:page" wp14:anchorId="61C7E1A7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1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Style w:val="Hyperlink"/>
        <w:rFonts w:cs="Arial" w:ascii="Open Sauce Sans Light" w:hAnsi="Open Sauce Sans Light"/>
        <w:bCs/>
        <w:color w:val="002060"/>
        <w:sz w:val="16"/>
        <w:szCs w:val="16"/>
        <w:lang w:val="it-IT"/>
      </w:rPr>
      <w:t>simon.zana@nava-eng.com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color w:val="002060"/>
      </w:rPr>
    </w:pPr>
    <w:r>
      <mc:AlternateContent>
        <mc:Choice Requires="wps">
          <w:drawing>
            <wp:anchor behindDoc="1" distT="13970" distB="12700" distL="13970" distR="12700" simplePos="0" locked="0" layoutInCell="0" allowOverlap="1" relativeHeight="16" wp14:anchorId="123A3517">
              <wp:simplePos x="0" y="0"/>
              <wp:positionH relativeFrom="page">
                <wp:posOffset>26670</wp:posOffset>
              </wp:positionH>
              <wp:positionV relativeFrom="page">
                <wp:posOffset>52705</wp:posOffset>
              </wp:positionV>
              <wp:extent cx="7493635" cy="9808845"/>
              <wp:effectExtent l="13970" t="13970" r="12700" b="12700"/>
              <wp:wrapNone/>
              <wp:docPr id="9" name="Rectangle 45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493760" cy="9808920"/>
                      </a:xfrm>
                      <a:prstGeom prst="roundRect">
                        <a:avLst>
                          <a:gd name="adj" fmla="val 1931"/>
                        </a:avLst>
                      </a:prstGeom>
                      <a:noFill/>
                      <a:ln w="25400">
                        <a:solidFill>
                          <a:srgbClr val="02466d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  <w:r>
      <w:rPr>
        <w:rFonts w:cs="Calibri" w:ascii="Calibri" w:hAnsi="Calibri"/>
        <w:b/>
        <w:bCs/>
        <w:color w:val="002060"/>
        <w:sz w:val="24"/>
        <w:szCs w:val="24"/>
      </w:rPr>
      <w:t xml:space="preserve">BIA</w:t>
      <w:br/>
      <w:t xml:space="preserve">Câbleur Microélectronique</w:t>
    </w:r>
  </w:p>
  <w:p>
    <w:pPr>
      <w:pStyle w:val="Normal"/>
      <w:jc w:val="right"/>
      <w:rPr>
        <w:color w:val="002060"/>
      </w:rPr>
    </w:pPr>
    <w:r>
      <w:rPr>
        <w:rFonts w:cs="Calibri" w:ascii="Calibri" w:hAnsi="Calibri"/>
        <w:b/>
        <w:bCs/>
        <w:color w:val="002060"/>
        <w:sz w:val="24"/>
        <w:szCs w:val="24"/>
      </w:rPr>
      <w:t xml:space="preserve">9 ans d'expériences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color w:val="002060"/>
      </w:rPr>
    </w:pPr>
    <w:r>
      <mc:AlternateContent>
        <mc:Choice Requires="wps">
          <w:drawing>
            <wp:anchor behindDoc="1" distT="13970" distB="12700" distL="13970" distR="12700" simplePos="0" locked="0" layoutInCell="0" allowOverlap="1" relativeHeight="16" wp14:anchorId="123A3517">
              <wp:simplePos x="0" y="0"/>
              <wp:positionH relativeFrom="page">
                <wp:posOffset>26670</wp:posOffset>
              </wp:positionH>
              <wp:positionV relativeFrom="page">
                <wp:posOffset>52705</wp:posOffset>
              </wp:positionV>
              <wp:extent cx="7493635" cy="9808845"/>
              <wp:effectExtent l="13970" t="13970" r="12700" b="12700"/>
              <wp:wrapNone/>
              <wp:docPr id="10" name="Rectangle 45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493760" cy="9808920"/>
                      </a:xfrm>
                      <a:prstGeom prst="roundRect">
                        <a:avLst>
                          <a:gd name="adj" fmla="val 1931"/>
                        </a:avLst>
                      </a:prstGeom>
                      <a:noFill/>
                      <a:ln w="25400">
                        <a:solidFill>
                          <a:srgbClr val="02466d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  <w:r>
      <w:rPr>
        <w:rFonts w:cs="Calibri" w:ascii="Calibri" w:hAnsi="Calibri"/>
        <w:b/>
        <w:bCs/>
        <w:color w:val="002060"/>
        <w:sz w:val="24"/>
        <w:szCs w:val="24"/>
      </w:rPr>
      <w:t xml:space="preserve">BIA</w:t>
      <w:br/>
      <w:t xml:space="preserve">Câbleur Microélectronique</w:t>
    </w:r>
  </w:p>
  <w:p>
    <w:pPr>
      <w:pStyle w:val="Normal"/>
      <w:jc w:val="right"/>
      <w:rPr>
        <w:color w:val="002060"/>
      </w:rPr>
    </w:pPr>
    <w:r>
      <w:rPr>
        <w:rFonts w:cs="Calibri" w:ascii="Calibri" w:hAnsi="Calibri"/>
        <w:b/>
        <w:bCs/>
        <w:color w:val="002060"/>
        <w:sz w:val="24"/>
        <w:szCs w:val="24"/>
      </w:rPr>
      <w:t xml:space="preserve">9 ans d'expériences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165pt;height:165pt" o:bullet="t">
        <v:imagedata r:id="rId1" o:title=""/>
      </v:shape>
    </w:pict>
  </w:numPicBullet>
  <w:abstractNum w:abstractNumId="1"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  <w:sz w:val="16"/>
        <w:spacing w:val="0"/>
        <w:i w:val="false"/>
        <w:b w:val="false"/>
        <w:w w:val="100"/>
        <w:color w:val="4C4C4C"/>
      </w:rPr>
    </w:lvl>
    <w:lvl w:ilvl="1">
      <w:start w:val="1"/>
      <w:numFmt w:val="bullet"/>
      <w:lvlText w:val="o"/>
      <w:lvlJc w:val="left"/>
      <w:pPr>
        <w:tabs>
          <w:tab w:val="num" w:pos="2715"/>
        </w:tabs>
        <w:ind w:left="27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435"/>
        </w:tabs>
        <w:ind w:left="343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4155"/>
        </w:tabs>
        <w:ind w:left="415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875"/>
        </w:tabs>
        <w:ind w:left="48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595"/>
        </w:tabs>
        <w:ind w:left="559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315"/>
        </w:tabs>
        <w:ind w:left="631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7035"/>
        </w:tabs>
        <w:ind w:left="70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755"/>
        </w:tabs>
        <w:ind w:left="7755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1416"/>
        </w:tabs>
        <w:ind w:left="1416" w:hanging="0"/>
      </w:pPr>
      <w:rPr>
        <w:rFonts w:ascii="Wingdings" w:hAnsi="Wingdings" w:cs="Wingdings" w:hint="default"/>
        <w:color w:val="4C4C4C"/>
      </w:rPr>
    </w:lvl>
    <w:lvl w:ilvl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4296"/>
        </w:tabs>
        <w:ind w:left="429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5016"/>
        </w:tabs>
        <w:ind w:left="501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456"/>
        </w:tabs>
        <w:ind w:left="645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7176"/>
        </w:tabs>
        <w:ind w:left="717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•"/>
      <w:lvlPicBulletId w:val="0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"/>
      <w:lvlJc w:val="left"/>
      <w:pPr>
        <w:tabs>
          <w:tab w:val="num" w:pos="0"/>
        </w:tabs>
        <w:ind w:left="1778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4"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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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8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fr-FR" w:eastAsia="fr-F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f61a9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fr-FR" w:eastAsia="fr-FR" w:bidi="ar-SA"/>
    </w:rPr>
  </w:style>
  <w:style w:type="paragraph" w:styleId="Heading1">
    <w:name w:val="Heading 1"/>
    <w:basedOn w:val="Normal"/>
    <w:next w:val="Normal"/>
    <w:qFormat/>
    <w:pPr>
      <w:keepNext w:val="true"/>
      <w:outlineLvl w:val="0"/>
    </w:pPr>
    <w:rPr>
      <w:b/>
      <w:i/>
      <w:szCs w:val="20"/>
    </w:rPr>
  </w:style>
  <w:style w:type="paragraph" w:styleId="Heading3">
    <w:name w:val="Heading 3"/>
    <w:basedOn w:val="Normal"/>
    <w:next w:val="Normal"/>
    <w:qFormat/>
    <w:pPr>
      <w:keepNext w:val="true"/>
      <w:spacing w:lineRule="auto" w:line="276" w:before="0" w:after="200"/>
      <w:outlineLvl w:val="2"/>
    </w:pPr>
    <w:rPr>
      <w:rFonts w:ascii="Calibri" w:hAnsi="Calibri" w:eastAsia="Calibri"/>
      <w:sz w:val="18"/>
      <w:szCs w:val="22"/>
      <w:u w:val="single"/>
      <w:lang w:eastAsia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basedOn w:val="DefaultParagraphFont"/>
    <w:semiHidden/>
    <w:rPr/>
  </w:style>
  <w:style w:type="character" w:styleId="Hyperlink">
    <w:name w:val="Hyperlink"/>
    <w:uiPriority w:val="99"/>
    <w:rPr>
      <w:color w:val="0000FF"/>
      <w:u w:val="single"/>
    </w:rPr>
  </w:style>
  <w:style w:type="character" w:styleId="CorpsdetexteCar" w:customStyle="1">
    <w:name w:val="Corps de texte Car"/>
    <w:uiPriority w:val="99"/>
    <w:semiHidden/>
    <w:qFormat/>
    <w:rsid w:val="0013740b"/>
    <w:rPr>
      <w:sz w:val="24"/>
      <w:szCs w:val="24"/>
    </w:rPr>
  </w:style>
  <w:style w:type="character" w:styleId="SubtleReference">
    <w:name w:val="Subtle Reference"/>
    <w:uiPriority w:val="31"/>
    <w:qFormat/>
    <w:rsid w:val="009a6fbe"/>
    <w:rPr>
      <w:b/>
      <w:bCs/>
      <w:color w:val="4F81BD"/>
    </w:rPr>
  </w:style>
  <w:style w:type="character" w:styleId="TextedebullesCar" w:customStyle="1">
    <w:name w:val="Texte de bulles Car"/>
    <w:link w:val="BalloonText"/>
    <w:uiPriority w:val="99"/>
    <w:semiHidden/>
    <w:qFormat/>
    <w:rsid w:val="00d8544b"/>
    <w:rPr>
      <w:rFonts w:ascii="Segoe UI" w:hAnsi="Segoe UI" w:cs="Segoe UI"/>
      <w:sz w:val="18"/>
      <w:szCs w:val="18"/>
    </w:rPr>
  </w:style>
  <w:style w:type="character" w:styleId="UnresolvedMention">
    <w:name w:val="Unresolved Mention"/>
    <w:uiPriority w:val="99"/>
    <w:semiHidden/>
    <w:unhideWhenUsed/>
    <w:qFormat/>
    <w:rsid w:val="00c82f0e"/>
    <w:rPr>
      <w:color w:val="605E5C"/>
      <w:shd w:fill="E1DFDD" w:val="clear"/>
    </w:rPr>
  </w:style>
  <w:style w:type="character" w:styleId="markedcontent" w:customStyle="1">
    <w:name w:val="markedcontent"/>
    <w:basedOn w:val="DefaultParagraphFont"/>
    <w:qFormat/>
    <w:rsid w:val="004108ec"/>
    <w:rPr/>
  </w:style>
  <w:style w:type="character" w:styleId="En-tteCar" w:customStyle="1">
    <w:name w:val="En-tête Car"/>
    <w:uiPriority w:val="99"/>
    <w:qFormat/>
    <w:rsid w:val="00265fea"/>
    <w:rPr>
      <w:sz w:val="24"/>
      <w:szCs w:val="24"/>
    </w:rPr>
  </w:style>
  <w:style w:type="character" w:styleId="PieddepageCar" w:customStyle="1">
    <w:name w:val="Pied de page Car"/>
    <w:uiPriority w:val="99"/>
    <w:qFormat/>
    <w:rsid w:val="00355330"/>
    <w:rPr>
      <w:sz w:val="24"/>
      <w:szCs w:val="24"/>
    </w:rPr>
  </w:style>
  <w:style w:type="character" w:styleId="FollowedHyperlink">
    <w:name w:val="FollowedHyperlink"/>
    <w:uiPriority w:val="99"/>
    <w:semiHidden/>
    <w:unhideWhenUsed/>
    <w:rsid w:val="00ed766e"/>
    <w:rPr>
      <w:color w:val="954F72"/>
      <w:u w:val="single"/>
    </w:rPr>
  </w:style>
  <w:style w:type="character" w:styleId="Emphasis">
    <w:name w:val="Emphasis"/>
    <w:uiPriority w:val="20"/>
    <w:qFormat/>
    <w:rsid w:val="00ef5428"/>
    <w:rPr>
      <w:i/>
      <w:iCs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CorpsdetexteCar"/>
    <w:uiPriority w:val="99"/>
    <w:semiHidden/>
    <w:unhideWhenUsed/>
    <w:rsid w:val="0013740b"/>
    <w:pPr>
      <w:spacing w:before="0" w:after="12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En-tteCar"/>
    <w:uiPriority w:val="99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link w:val="PieddepageCar"/>
    <w:uiPriority w:val="99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BodyText21" w:customStyle="1">
    <w:name w:val="Body Text 21"/>
    <w:basedOn w:val="Normal"/>
    <w:qFormat/>
    <w:rsid w:val="00cc5efe"/>
    <w:pPr>
      <w:tabs>
        <w:tab w:val="clear" w:pos="708"/>
        <w:tab w:val="left" w:pos="3119" w:leader="hyphen"/>
      </w:tabs>
      <w:ind w:hanging="113" w:left="113"/>
    </w:pPr>
    <w:rPr>
      <w:rFonts w:ascii="Garamond" w:hAnsi="Garamond" w:cs="Arial"/>
      <w:sz w:val="22"/>
      <w:szCs w:val="22"/>
    </w:rPr>
  </w:style>
  <w:style w:type="paragraph" w:styleId="ListParagraph">
    <w:name w:val="List Paragraph"/>
    <w:basedOn w:val="Normal"/>
    <w:uiPriority w:val="34"/>
    <w:qFormat/>
    <w:rsid w:val="002a44bd"/>
    <w:pPr>
      <w:spacing w:before="0" w:after="0"/>
      <w:ind w:left="720"/>
      <w:contextualSpacing/>
    </w:pPr>
    <w:rPr/>
  </w:style>
  <w:style w:type="paragraph" w:styleId="Default" w:customStyle="1">
    <w:name w:val="Default"/>
    <w:qFormat/>
    <w:rsid w:val="00b34361"/>
    <w:pPr>
      <w:widowControl/>
      <w:suppressAutoHyphens w:val="true"/>
      <w:bidi w:val="0"/>
      <w:spacing w:before="0" w:after="0"/>
      <w:jc w:val="left"/>
    </w:pPr>
    <w:rPr>
      <w:rFonts w:ascii="Lucida Sans Unicode" w:hAnsi="Lucida Sans Unicode" w:eastAsia="Times New Roman" w:cs="Lucida Sans Unicode"/>
      <w:color w:val="000000"/>
      <w:kern w:val="0"/>
      <w:sz w:val="24"/>
      <w:szCs w:val="24"/>
      <w:lang w:val="fr-FR" w:eastAsia="fr-FR" w:bidi="ar-SA"/>
    </w:rPr>
  </w:style>
  <w:style w:type="paragraph" w:styleId="Tche" w:customStyle="1">
    <w:name w:val="Tâche"/>
    <w:basedOn w:val="Normal"/>
    <w:autoRedefine/>
    <w:qFormat/>
    <w:rsid w:val="0013740b"/>
    <w:pPr>
      <w:numPr>
        <w:ilvl w:val="0"/>
        <w:numId w:val="1"/>
      </w:numPr>
      <w:spacing w:before="120" w:after="0"/>
      <w:jc w:val="both"/>
    </w:pPr>
    <w:rPr>
      <w:rFonts w:ascii="Arial" w:hAnsi="Arial" w:cs="Arial"/>
      <w:sz w:val="22"/>
      <w:szCs w:val="22"/>
    </w:rPr>
  </w:style>
  <w:style w:type="paragraph" w:styleId="Sous-tche" w:customStyle="1">
    <w:name w:val="Sous-tâche"/>
    <w:basedOn w:val="Normal"/>
    <w:autoRedefine/>
    <w:qFormat/>
    <w:rsid w:val="0013740b"/>
    <w:pPr>
      <w:widowControl w:val="false"/>
      <w:numPr>
        <w:ilvl w:val="0"/>
        <w:numId w:val="2"/>
      </w:numPr>
      <w:tabs>
        <w:tab w:val="clear" w:pos="708"/>
        <w:tab w:val="right" w:pos="10490" w:leader="none"/>
      </w:tabs>
      <w:spacing w:before="60" w:after="0"/>
      <w:jc w:val="both"/>
    </w:pPr>
    <w:rPr>
      <w:rFonts w:ascii="Arial" w:hAnsi="Arial" w:cs="Arial"/>
      <w:sz w:val="16"/>
      <w:lang w:val="en-GB"/>
    </w:rPr>
  </w:style>
  <w:style w:type="paragraph" w:styleId="INTITULREFPROJET" w:customStyle="1">
    <w:name w:val="INTITULÉ/REF PROJET"/>
    <w:qFormat/>
    <w:rsid w:val="0013740b"/>
    <w:pPr>
      <w:widowControl w:val="false"/>
      <w:tabs>
        <w:tab w:val="clear" w:pos="708"/>
        <w:tab w:val="right" w:pos="10490" w:leader="none"/>
      </w:tabs>
      <w:suppressAutoHyphens w:val="true"/>
      <w:bidi w:val="0"/>
      <w:spacing w:before="0" w:after="0"/>
      <w:jc w:val="both"/>
    </w:pPr>
    <w:rPr>
      <w:rFonts w:ascii="Arial" w:hAnsi="Arial" w:eastAsia="Times New Roman" w:cs="Arial"/>
      <w:b/>
      <w:iCs/>
      <w:color w:val="000000"/>
      <w:kern w:val="0"/>
      <w:sz w:val="16"/>
      <w:szCs w:val="24"/>
      <w:lang w:val="fr-FR" w:eastAsia="fr-FR" w:bidi="ar-SA"/>
    </w:rPr>
  </w:style>
  <w:style w:type="paragraph" w:styleId="Paragraphedeliste2" w:customStyle="1">
    <w:name w:val="Paragraphe de liste 2"/>
    <w:basedOn w:val="ListParagraph"/>
    <w:qFormat/>
    <w:rsid w:val="0013740b"/>
    <w:pPr>
      <w:numPr>
        <w:ilvl w:val="1"/>
        <w:numId w:val="3"/>
      </w:numPr>
    </w:pPr>
    <w:rPr>
      <w:rFonts w:ascii="Arial" w:hAnsi="Arial" w:eastAsia="MS Gothic" w:cs="Arial"/>
      <w:iCs/>
      <w:color w:val="292929"/>
      <w:sz w:val="22"/>
      <w:szCs w:val="22"/>
      <w:lang w:val="fr-BE"/>
    </w:rPr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d8544b"/>
    <w:pPr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qFormat/>
    <w:rsid w:val="000f6edb"/>
    <w:pPr>
      <w:spacing w:beforeAutospacing="1" w:afterAutospacing="1"/>
    </w:pPr>
    <w:rPr/>
  </w:style>
  <w:style w:type="paragraph" w:styleId="Contenudecadre">
    <w:name w:val="Contenu de cadre"/>
    <w:basedOn w:val="Normal"/>
    <w:qFormat/>
    <w:pPr/>
    <w:rPr/>
  </w:style>
  <w:style w:type="paragraph" w:styleId="Texteprformat">
    <w:name w:val="Texte préformaté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<Relationship Id="rId14" Type="http://schemas.openxmlformats.org/officeDocument/2006/relationships/customXml" Target="../customXml/item2.xml"/><Relationship Id="rId15" Type="http://schemas.openxmlformats.org/officeDocument/2006/relationships/customXml" Target="../customXml/item3.xml"/><Relationship Id="rId16" Type="http://schemas.openxmlformats.org/officeDocument/2006/relationships/customXml" Target="../customXml/item4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7C9B16D5F44342850AAF6F7A657EE2" ma:contentTypeVersion="13" ma:contentTypeDescription="Crée un document." ma:contentTypeScope="" ma:versionID="3dfd0ed4f7a1ffb00a66e6020b776702">
  <xsd:schema xmlns:xsd="http://www.w3.org/2001/XMLSchema" xmlns:xs="http://www.w3.org/2001/XMLSchema" xmlns:p="http://schemas.microsoft.com/office/2006/metadata/properties" xmlns:ns2="24951bd1-abaf-4ce5-abfd-d427fc0f1947" xmlns:ns3="bdbad5c6-c323-4ecc-a7f0-445736588319" targetNamespace="http://schemas.microsoft.com/office/2006/metadata/properties" ma:root="true" ma:fieldsID="9e2d2818ac17038ee33c8c7108338d1b" ns2:_="" ns3:_="">
    <xsd:import namespace="24951bd1-abaf-4ce5-abfd-d427fc0f1947"/>
    <xsd:import namespace="bdbad5c6-c323-4ecc-a7f0-4457365883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51bd1-abaf-4ce5-abfd-d427fc0f19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bad5c6-c323-4ecc-a7f0-445736588319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D10D3F5-98DD-4C9C-A2EC-99AF8C17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951bd1-abaf-4ce5-abfd-d427fc0f1947"/>
    <ds:schemaRef ds:uri="bdbad5c6-c323-4ecc-a7f0-4457365883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8381856-7B3A-419B-AE55-07EF15B4463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CD0E240-7E6B-4E54-A8D6-40E876E01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363A018-813C-488E-8021-00AAA46C4A9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771</TotalTime>
  <Application>LibreOffice/24.2.7.2$Linux_X86_64 LibreOffice_project/420$Build-2</Application>
  <AppVersion>15.0000</AppVersion>
  <Pages>1</Pages>
  <Words>224</Words>
  <Characters>1080</Characters>
  <CharactersWithSpaces>1262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2024-09-09T14:01:00Z</dcterms:created>
  <dc:creator>AB</dc:creator>
  <dc:description/>
  <dc:language>fr-FR</dc:language>
  <cp:lastModifiedBy/>
  <cp:lastPrinted>2021-06-14T18:36:00Z</cp:lastPrinted>
  <dcterms:modified xsi:type="dcterms:W3CDTF">2025-11-17T13:31:39Z</dcterms:modified>
  <cp:revision>216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