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rFonts w:ascii="Calibri" w:hAnsi="Calibri"/>
        </w:rPr>
      </w:pPr>
      <w:r>
        <w:rPr/>
      </w:r>
    </w:p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1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Maîtrise du brasage manuel selon les normes spatiales ECSS-Q-ST-70-38 et ECSS-Q-ST-70-61C, incluant les alliages Sn62Pb36Ag2, Sn63Pb37, Sn96Ag4, Sn91,5Sb8,5 et Sn5Pb93,5Ag1,5.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Lecture et interprétation de plans de montage, plans mécaniques et fiches suiveuses, avec compréhension des nomenclatures.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Application rigoureuse des normes ISO 5 et ISO 7 ainsi que des procédures ESD, incluant la méthode 5S et le respect des procédures qualité.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Réalisation de microsoudures sous binoculaire, de dédorage, d'étamage et de billage manuel sur cartes électroniques CMS, traversant et filaire.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Contrôle visuel et test de continuité des cartes électroniques à l’aide de testeurs, multimètres et analyse d’images RX pour les composants BGA.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Gestion de la production en salle blanche, incluant le redressement, l'étamage, le sablage et l’enrobage de composants TSOP/TSSOP, ainsi que l’utilisation de résine par seringue.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Formation et encadrement de nouveaux employés sur les procédés de câblage et de micro‑soudure.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Opérations de découpe et de sérialisation de circuits imprimés à l’aide de lasers IR et UV.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2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</w:t>
                            </w: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UTILS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ERP:</w:t>
      </w:r>
      <w:r>
        <w:rPr>
          <w:rFonts w:ascii="Calibri" w:hAnsi="Calibri"/>
          <w:color w:val="002060"/>
          <w:sz w:val="18"/>
          <w:szCs w:val="18"/>
        </w:rPr>
        <w:t xml:space="preserve"> INDUSTRIA, DIVALTO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Équipements de mesure et de test:</w:t>
      </w:r>
      <w:r>
        <w:rPr>
          <w:rFonts w:ascii="Calibri" w:hAnsi="Calibri"/>
          <w:color w:val="002060"/>
          <w:sz w:val="18"/>
          <w:szCs w:val="18"/>
        </w:rPr>
        <w:t xml:space="preserve"> Testeur de continuité, Multimètre, Microscope binoculaire, Caméra RX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Outils de micro‑soudure:</w:t>
      </w:r>
      <w:r>
        <w:rPr>
          <w:rFonts w:ascii="Calibri" w:hAnsi="Calibri"/>
          <w:color w:val="002060"/>
          <w:sz w:val="18"/>
          <w:szCs w:val="18"/>
        </w:rPr>
        <w:t xml:space="preserve"> Fer à souder, Bain d'étamage, Station de brasage manuel, Séringue de résine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Équipements de traitement laser:</w:t>
      </w:r>
      <w:r>
        <w:rPr>
          <w:rFonts w:ascii="Calibri" w:hAnsi="Calibri"/>
          <w:color w:val="002060"/>
          <w:sz w:val="18"/>
          <w:szCs w:val="18"/>
        </w:rPr>
        <w:t xml:space="preserve"> Laser IR, Laser UV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7"/>
        </w:numPr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Aérospatial</w:t>
      </w:r>
    </w:p>
    <w:p>
      <w:pPr>
        <w:pStyle w:val="Normal"/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61286E2">
                <wp:extent cx="6494145" cy="309880"/>
                <wp:effectExtent l="11430" t="9525" r="257175" b="13970"/>
                <wp:docPr id="1004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Brasage manuel selon les normes spatiales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Prévention des risques chimiques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Utilisation et manipulation d'une binoculaire SFM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Certification de l'ESA en Brasage manuel au fer en spatial selon la norme ECSS-Q-ST-70-38 (CMS-ESA) ESA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Certification de l'ESA en Brasage manuel au fer en spatial selon la norme ECSS-Q-ST-70-61C (Traversant et Filaire) ESA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Formateur câblage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1005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/>
      </w:r>
    </w:p>
    <w:p>
      <w:pPr>
        <w:pStyle w:val="BodyText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1006" name="Zon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3D PLUS\t\t2020 - présent  5 ans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19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07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Câbleur Microélectronique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Identifier l'implantation des composants à partir d'un schéma électronique ou d'un plan de câblage.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Vérifier les composants avant le câblage.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Câbler avec différents types d’alliages : Sn62Pb36Ag2, Sn63Pb37, Sn96Ag4, Sn91,5Sb8,5, Sn5Pb93,5Ag1,5 (haute température).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Placer et braser manuellement des composants CMS, traversants et filaires.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Réaliser un billage manuel sur une carte électronique.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Réaliser des retouches et/ou réparations selon les défauts identifiés sur une carte.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Réaliser des microsoudures au fer à souder sous binoculaire.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Réaliser le dédorage et l’étamage des composants au fer à souder ou au bain.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Réaliser le dédorage et l’étamage des cartes électroniques au fer.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Contrôler visuellement la conformité des cartes électroniques (sens des composants, aspect de la brasure…) selon les critères du spatial.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Contrôler les photos RX pour les composants BGA (billes).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Tester la continuité des cartes électroniques avec un testeur ou un multimètre.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Travailler et respecter les conditions d’une salle blanche ISO 7.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Former les nouveaux employés.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 xml:space="preserve"/>
      </w:r>
    </w:p>
    <w:p>
      <w:pPr>
        <w:pStyle w:val="BodyText"/>
        <w:spacing w:before="0" w:after="120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3D PLUS\t\t2016 - 2020  4 ans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19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08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Opérateur de production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Redresser manuellement et automatiquement les pattes des TSOP/TSSOP.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Etamer au bain les pattes des TSOP/TSSOP.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Sabler le corps des TSOP/TSSOP.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Réaliser l’étanchéité des circuits connectiques à l’aide d’une résine en la déposant avec une seringue.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Empiler les composants TSOP/TSSOP en les collant.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Empiler des circuits électroniques câblés.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Enrober les empilages de composants électroniques avec de la résine.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Ouvrir et sérialiser des circuits imprimés au laser IR et au laser UV.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 xml:space="preserve"/>
      </w:r>
    </w:p>
    <w:p>
      <w:pPr>
        <w:pStyle w:val="BodyText"/>
        <w:spacing w:before="0" w:after="120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spacing w:before="0" w:after="120"/>
        <w:rPr>
          <w:rFonts w:ascii="Calibri" w:hAnsi="Calibri"/>
          <w:color w:val="002060"/>
          <w:sz w:val="18"/>
          <w:szCs w:val="18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0" w:footer="214" w:bottom="127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Lucida Sans Unicode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2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3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sz w:val="32"/>
        <w:szCs w:val="32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8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0" distT="0" distB="0" distL="0" distR="0" simplePos="0" locked="0" layoutInCell="0" allowOverlap="1" relativeHeight="20">
          <wp:simplePos x="0" y="0"/>
          <wp:positionH relativeFrom="column">
            <wp:posOffset>31115</wp:posOffset>
          </wp:positionH>
          <wp:positionV relativeFrom="paragraph">
            <wp:posOffset>33020</wp:posOffset>
          </wp:positionV>
          <wp:extent cx="1336675" cy="701675"/>
          <wp:effectExtent l="0" t="0" r="0" b="0"/>
          <wp:wrapSquare wrapText="largest"/>
          <wp:docPr id="9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0114" r="3660" b="22451"/>
                  <a:stretch>
                    <a:fillRect/>
                  </a:stretch>
                </pic:blipFill>
                <pic:spPr bwMode="auto">
                  <a:xfrm>
                    <a:off x="0" y="0"/>
                    <a:ext cx="133667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002060"/>
        <w:sz w:val="32"/>
        <w:szCs w:val="32"/>
      </w:rPr>
      <w:t xml:space="preserve">BIA</w:t>
      <w:br/>
      <w:t xml:space="preserve">Câbleur Microélectronique</w:t>
    </w:r>
  </w:p>
  <w:p>
    <w:pPr>
      <w:pStyle w:val="Normal"/>
      <w:jc w:val="right"/>
      <w:rPr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 xml:space="preserve">9 ans d'expériences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sz w:val="32"/>
        <w:szCs w:val="32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10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0" distT="0" distB="0" distL="0" distR="0" simplePos="0" locked="0" layoutInCell="0" allowOverlap="1" relativeHeight="20">
          <wp:simplePos x="0" y="0"/>
          <wp:positionH relativeFrom="column">
            <wp:posOffset>31115</wp:posOffset>
          </wp:positionH>
          <wp:positionV relativeFrom="paragraph">
            <wp:posOffset>33020</wp:posOffset>
          </wp:positionV>
          <wp:extent cx="1336675" cy="701675"/>
          <wp:effectExtent l="0" t="0" r="0" b="0"/>
          <wp:wrapSquare wrapText="largest"/>
          <wp:docPr id="1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0114" r="3660" b="22451"/>
                  <a:stretch>
                    <a:fillRect/>
                  </a:stretch>
                </pic:blipFill>
                <pic:spPr bwMode="auto">
                  <a:xfrm>
                    <a:off x="0" y="0"/>
                    <a:ext cx="133667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002060"/>
        <w:sz w:val="32"/>
        <w:szCs w:val="32"/>
      </w:rPr>
      <w:t xml:space="preserve">BIA</w:t>
      <w:br/>
      <w:t xml:space="preserve">Câbleur Microélectronique</w:t>
    </w:r>
  </w:p>
  <w:p>
    <w:pPr>
      <w:pStyle w:val="Normal"/>
      <w:jc w:val="right"/>
      <w:rPr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 xml:space="preserve">9 ans d'expériences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65pt;height:165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16"/>
        <w:spacing w:val="0"/>
        <w:i w:val="false"/>
        <w:b w:val="false"/>
        <w:w w:val="100"/>
        <w:color w:val="4C4C4C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1416"/>
        </w:tabs>
        <w:ind w:left="1416" w:hanging="0"/>
      </w:pPr>
      <w:rPr>
        <w:rFonts w:ascii="Wingdings" w:hAnsi="Wingdings" w:cs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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61a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i/>
      <w:szCs w:val="20"/>
    </w:rPr>
  </w:style>
  <w:style w:type="paragraph" w:styleId="Heading3">
    <w:name w:val="Heading 3"/>
    <w:basedOn w:val="Normal"/>
    <w:next w:val="Normal"/>
    <w:qFormat/>
    <w:pPr>
      <w:keepNext w:val="true"/>
      <w:spacing w:lineRule="auto" w:line="276" w:before="0" w:after="200"/>
      <w:outlineLvl w:val="2"/>
    </w:pPr>
    <w:rPr>
      <w:rFonts w:ascii="Calibri" w:hAnsi="Calibri" w:eastAsia="Calibri"/>
      <w:sz w:val="18"/>
      <w:szCs w:val="22"/>
      <w:u w:val="single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CorpsdetexteCar" w:customStyle="1">
    <w:name w:val="Corps de texte Car"/>
    <w:uiPriority w:val="99"/>
    <w:semiHidden/>
    <w:qFormat/>
    <w:rsid w:val="0013740b"/>
    <w:rPr>
      <w:sz w:val="24"/>
      <w:szCs w:val="24"/>
    </w:rPr>
  </w:style>
  <w:style w:type="character" w:styleId="SubtleReference">
    <w:name w:val="Subtle Reference"/>
    <w:uiPriority w:val="31"/>
    <w:qFormat/>
    <w:rsid w:val="009a6fbe"/>
    <w:rPr>
      <w:b/>
      <w:bCs/>
      <w:color w:val="4F81BD"/>
    </w:rPr>
  </w:style>
  <w:style w:type="character" w:styleId="TextedebullesCar" w:customStyle="1">
    <w:name w:val="Texte de bulles Car"/>
    <w:link w:val="BalloonText"/>
    <w:uiPriority w:val="99"/>
    <w:semiHidden/>
    <w:qFormat/>
    <w:rsid w:val="00d8544b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qFormat/>
    <w:rsid w:val="00c82f0e"/>
    <w:rPr>
      <w:color w:val="605E5C"/>
      <w:shd w:fill="E1DFDD" w:val="clear"/>
    </w:rPr>
  </w:style>
  <w:style w:type="character" w:styleId="markedcontent" w:customStyle="1">
    <w:name w:val="markedcontent"/>
    <w:basedOn w:val="DefaultParagraphFont"/>
    <w:qFormat/>
    <w:rsid w:val="004108ec"/>
    <w:rPr/>
  </w:style>
  <w:style w:type="character" w:styleId="En-tteCar" w:customStyle="1">
    <w:name w:val="En-tête Car"/>
    <w:uiPriority w:val="99"/>
    <w:qFormat/>
    <w:rsid w:val="00265fea"/>
    <w:rPr>
      <w:sz w:val="24"/>
      <w:szCs w:val="24"/>
    </w:rPr>
  </w:style>
  <w:style w:type="character" w:styleId="PieddepageCar" w:customStyle="1">
    <w:name w:val="Pied de page Car"/>
    <w:uiPriority w:val="99"/>
    <w:qFormat/>
    <w:rsid w:val="00355330"/>
    <w:rPr>
      <w:sz w:val="24"/>
      <w:szCs w:val="24"/>
    </w:rPr>
  </w:style>
  <w:style w:type="character" w:styleId="FollowedHyperlink">
    <w:name w:val="FollowedHyperlink"/>
    <w:uiPriority w:val="99"/>
    <w:semiHidden/>
    <w:unhideWhenUsed/>
    <w:rsid w:val="00ed766e"/>
    <w:rPr>
      <w:color w:val="954F72"/>
      <w:u w:val="single"/>
    </w:rPr>
  </w:style>
  <w:style w:type="character" w:styleId="Emphasis">
    <w:name w:val="Emphasis"/>
    <w:uiPriority w:val="20"/>
    <w:qFormat/>
    <w:rsid w:val="00ef5428"/>
    <w:rPr>
      <w:i/>
      <w:i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uiPriority w:val="99"/>
    <w:semiHidden/>
    <w:unhideWhenUsed/>
    <w:rsid w:val="0013740b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1" w:customStyle="1">
    <w:name w:val="Body Text 21"/>
    <w:basedOn w:val="Normal"/>
    <w:qFormat/>
    <w:rsid w:val="00cc5efe"/>
    <w:pPr>
      <w:tabs>
        <w:tab w:val="clear" w:pos="708"/>
        <w:tab w:val="left" w:pos="3119" w:leader="hyphen"/>
      </w:tabs>
      <w:ind w:hanging="113" w:left="113"/>
    </w:pPr>
    <w:rPr>
      <w:rFonts w:ascii="Garamond" w:hAnsi="Garamond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2a44bd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b34361"/>
    <w:pPr>
      <w:widowControl/>
      <w:suppressAutoHyphens w:val="true"/>
      <w:bidi w:val="0"/>
      <w:spacing w:before="0" w:after="0"/>
      <w:jc w:val="left"/>
    </w:pPr>
    <w:rPr>
      <w:rFonts w:ascii="Lucida Sans Unicode" w:hAnsi="Lucida Sans Unicode" w:eastAsia="Times New Roman" w:cs="Lucida Sans Unicode"/>
      <w:color w:val="000000"/>
      <w:kern w:val="0"/>
      <w:sz w:val="24"/>
      <w:szCs w:val="24"/>
      <w:lang w:val="fr-FR" w:eastAsia="fr-FR" w:bidi="ar-SA"/>
    </w:rPr>
  </w:style>
  <w:style w:type="paragraph" w:styleId="Tche" w:customStyle="1">
    <w:name w:val="Tâche"/>
    <w:basedOn w:val="Normal"/>
    <w:autoRedefine/>
    <w:qFormat/>
    <w:rsid w:val="0013740b"/>
    <w:pPr>
      <w:numPr>
        <w:ilvl w:val="0"/>
        <w:numId w:val="1"/>
      </w:numPr>
      <w:spacing w:before="120" w:after="0"/>
      <w:jc w:val="both"/>
    </w:pPr>
    <w:rPr>
      <w:rFonts w:ascii="Arial" w:hAnsi="Arial" w:cs="Arial"/>
      <w:sz w:val="22"/>
      <w:szCs w:val="22"/>
    </w:rPr>
  </w:style>
  <w:style w:type="paragraph" w:styleId="Sous-tche" w:customStyle="1">
    <w:name w:val="Sous-tâche"/>
    <w:basedOn w:val="Normal"/>
    <w:autoRedefine/>
    <w:qFormat/>
    <w:rsid w:val="0013740b"/>
    <w:pPr>
      <w:widowControl w:val="false"/>
      <w:numPr>
        <w:ilvl w:val="0"/>
        <w:numId w:val="2"/>
      </w:numPr>
      <w:tabs>
        <w:tab w:val="clear" w:pos="708"/>
        <w:tab w:val="right" w:pos="10490" w:leader="none"/>
      </w:tabs>
      <w:spacing w:before="60" w:after="0"/>
      <w:jc w:val="both"/>
    </w:pPr>
    <w:rPr>
      <w:rFonts w:ascii="Arial" w:hAnsi="Arial" w:cs="Arial"/>
      <w:sz w:val="16"/>
      <w:lang w:val="en-GB"/>
    </w:rPr>
  </w:style>
  <w:style w:type="paragraph" w:styleId="INTITULREFPROJET" w:customStyle="1">
    <w:name w:val="INTITULÉ/REF PROJET"/>
    <w:qFormat/>
    <w:rsid w:val="0013740b"/>
    <w:pPr>
      <w:widowControl w:val="false"/>
      <w:tabs>
        <w:tab w:val="clear" w:pos="708"/>
        <w:tab w:val="right" w:pos="10490" w:leader="none"/>
      </w:tabs>
      <w:suppressAutoHyphens w:val="true"/>
      <w:bidi w:val="0"/>
      <w:spacing w:before="0" w:after="0"/>
      <w:jc w:val="both"/>
    </w:pPr>
    <w:rPr>
      <w:rFonts w:ascii="Arial" w:hAnsi="Arial" w:eastAsia="Times New Roman" w:cs="Arial"/>
      <w:b/>
      <w:iCs/>
      <w:color w:val="000000"/>
      <w:kern w:val="0"/>
      <w:sz w:val="16"/>
      <w:szCs w:val="24"/>
      <w:lang w:val="fr-FR" w:eastAsia="fr-FR" w:bidi="ar-SA"/>
    </w:rPr>
  </w:style>
  <w:style w:type="paragraph" w:styleId="Paragraphedeliste2" w:customStyle="1">
    <w:name w:val="Paragraphe de liste 2"/>
    <w:basedOn w:val="ListParagraph"/>
    <w:qFormat/>
    <w:rsid w:val="0013740b"/>
    <w:pPr>
      <w:numPr>
        <w:ilvl w:val="1"/>
        <w:numId w:val="3"/>
      </w:numPr>
    </w:pPr>
    <w:rPr>
      <w:rFonts w:ascii="Arial" w:hAnsi="Arial" w:eastAsia="MS Gothic" w:cs="Arial"/>
      <w:iCs/>
      <w:color w:val="292929"/>
      <w:sz w:val="22"/>
      <w:szCs w:val="22"/>
      <w:lang w:val="fr-BE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d8544b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0f6edb"/>
    <w:pPr>
      <w:spacing w:beforeAutospacing="1" w:afterAutospacing="1"/>
    </w:pPr>
    <w:rPr/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C9B16D5F44342850AAF6F7A657EE2" ma:contentTypeVersion="13" ma:contentTypeDescription="Crée un document." ma:contentTypeScope="" ma:versionID="3dfd0ed4f7a1ffb00a66e6020b776702">
  <xsd:schema xmlns:xsd="http://www.w3.org/2001/XMLSchema" xmlns:xs="http://www.w3.org/2001/XMLSchema" xmlns:p="http://schemas.microsoft.com/office/2006/metadata/properties" xmlns:ns2="24951bd1-abaf-4ce5-abfd-d427fc0f1947" xmlns:ns3="bdbad5c6-c323-4ecc-a7f0-445736588319" targetNamespace="http://schemas.microsoft.com/office/2006/metadata/properties" ma:root="true" ma:fieldsID="9e2d2818ac17038ee33c8c7108338d1b" ns2:_="" ns3:_="">
    <xsd:import namespace="24951bd1-abaf-4ce5-abfd-d427fc0f1947"/>
    <xsd:import namespace="bdbad5c6-c323-4ecc-a7f0-445736588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51bd1-abaf-4ce5-abfd-d427fc0f1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ad5c6-c323-4ecc-a7f0-4457365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10D3F5-98DD-4C9C-A2EC-99AF8C17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51bd1-abaf-4ce5-abfd-d427fc0f1947"/>
    <ds:schemaRef ds:uri="bdbad5c6-c323-4ecc-a7f0-4457365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381856-7B3A-419B-AE55-07EF15B446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D0E240-7E6B-4E54-A8D6-40E876E01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63A018-813C-488E-8021-00AAA46C4A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Application>LibreOffice/24.2.7.2$Linux_X86_64 LibreOffice_project/420$Build-2</Application>
  <AppVersion>15.0000</AppVersion>
  <Pages>1</Pages>
  <Words>222</Words>
  <Characters>1084</Characters>
  <CharactersWithSpaces>1260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2024-09-09T14:01:00Z</dcterms:created>
  <dc:creator>AB</dc:creator>
  <dc:description/>
  <dc:language>fr-FR</dc:language>
  <cp:lastModifiedBy/>
  <cp:lastPrinted>2021-06-14T18:36:00Z</cp:lastPrinted>
  <dcterms:modified xsi:type="dcterms:W3CDTF">2025-11-17T13:50:44Z</dcterms:modified>
  <cp:revision>225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