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
        <w:rPr>
          <w:rFonts w:ascii="Calibri" w:hAnsi="Calibri"/>
        </w:rPr>
      </w:pPr>
      <w:r>
        <w:rPr/>
        <mc:AlternateContent>
          <mc:Choice Requires="wps">
            <w:drawing>
              <wp:inline distT="0" distB="0" distL="0" distR="0" wp14:anchorId="2B8C2465">
                <wp:extent cx="6494145" cy="309880"/>
                <wp:effectExtent l="11430" t="7620" r="257175" b="6350"/>
                <wp:docPr id="1001" name="Zone de texte 4"/>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700">
                          <a:solidFill>
                            <a:srgbClr val="02466d"/>
                          </a:solidFill>
                          <a:round/>
                        </a:ln>
                        <a:effectLst>
                          <a:outerShdw kx="-2453608" rotWithShape="0" sy="50000">
                            <a:srgbClr val="b4c6e7">
                              <a:alpha val="50000"/>
                            </a:srgbClr>
                          </a:outerShdw>
                        </a:effectLst>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wps:txbx>
                      <wps:bodyPr anchor="t" upright="1">
                        <a:noAutofit/>
                      </wps:bodyPr>
                    </wps:wsp>
                  </a:graphicData>
                </a:graphic>
              </wp:inline>
            </w:drawing>
          </mc:Choice>
          <mc:Fallback>
            <w:pict/>
          </mc:Fallback>
        </mc:AlternateConten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Maîtrise du brasage manuel selon les normes spatiales ECSS‑Q‑ST‑70‑38 et ECSS‑Q‑ST‑70‑61C, pour les composants CMS, traversants et filaires.</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Expertise en câblage microélectronique aéronautique, incluant l’identification, le placement et le test des composants selon les schémas électroniques.</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Lecture et interprétation avancées de plans de montage, plans mécaniques et fiches suiveuses, garantissant une traçabilité précise.</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Application rigoureuse des normes ESD, ISO 7, ISO 5 et des procédures 5S pour assurer la conformité en salle blanche.</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Utilisation d’ERP INDUSTRIA et DIVALTO pour la gestion de la production, le suivi des nomenclatures et la traçabilité des pièces.</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Compétences en prévention des risques chimiques et respect des exigences de sécurité industrielle.</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Réalisation de microsoudures sous binoculaire avec une large gamme d’alliages (Sn62Pb36Ag2, Sn63Pb37, Sn96Ag4, Sn91,5Sb8,5, Sn5Pb93,5Ag1,5).</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Dédorage, étamage, billage manuel et retouches de cartes électroniques, ainsi que la réparation de défauts détectés.</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Contrôle visuel et analyse d’images RX pour les composants BGA, ainsi que tests de continuité à l’aide de multimètre et testeur dédié.</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Opérations en salle blanche ISO 7, incluant le respect des protocoles de contamination et de propreté.</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Formation et encadrement de nouveaux techniciens, transmission des bonnes pratiques et des procédures de qualité.</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Gestion du processus d’étanchéité des circuits avec résine, empilage et enrobage de composants TSOP/TSSOP.</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Utilisation de lasers IR et UV pour la sérialisation et le marquage de circuits imprimés.</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numPr>
          <w:ilvl w:val="0"/>
          <w:numId w:val="6"/>
        </w:numPr>
        <w:rPr>
          <w:sz w:val="20"/>
          <w:szCs w:val="20"/>
        </w:rPr>
      </w:pPr>
      <w:r>
        <w:rPr>
          <w:rFonts w:cs="Calibri" w:ascii="Calibri" w:hAnsi="Calibri"/>
          <w:b w:val="false"/>
          <w:bCs w:val="false"/>
          <w:i w:val="false"/>
          <w:iCs w:val="false"/>
          <w:color w:val="002060"/>
          <w:sz w:val="20"/>
          <w:szCs w:val="20"/>
        </w:rPr>
        <w:t xml:space="preserve">Compétences en amélioration continue (Lean, Kaizen) et en suivi des indicateurs de performance de production.</w:t>
      </w:r>
    </w:p>
    <w:p>
      <w:pPr>
        <w:pStyle w:val="Normal"/>
        <w:rPr>
          <w:sz w:val="20"/>
          <w:szCs w:val="20"/>
        </w:rPr>
      </w:pPr>
      <w:r>
        <w:rPr>
          <w:rFonts w:cs="Calibri" w:ascii="Calibri" w:hAnsi="Calibri"/>
          <w:b w:val="false"/>
          <w:bCs w:val="false"/>
          <w:i w:val="false"/>
          <w:iCs w:val="false"/>
          <w:color w:val="002060"/>
          <w:sz w:val="20"/>
          <w:szCs w:val="20"/>
        </w:rPr>
        <w:t xml:space="preserve"/>
      </w:r>
    </w:p>
    <w:p>
      <w:pPr>
        <w:pStyle w:val="Normal"/>
        <w:rPr>
          <w:rFonts w:ascii="Calibri" w:hAnsi="Calibri"/>
        </w:rPr>
      </w:pPr>
      <w:r>
        <w:rPr/>
        <mc:AlternateContent>
          <mc:Choice Requires="wps">
            <w:drawing>
              <wp:inline distT="0" distB="0" distL="0" distR="0" wp14:anchorId="2B8C2465">
                <wp:extent cx="6494145" cy="309880"/>
                <wp:effectExtent l="11430" t="7620" r="257175" b="6350"/>
                <wp:docPr id="1002" name="Zone de texte 3"/>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700">
                          <a:solidFill>
                            <a:srgbClr val="02466d"/>
                          </a:solidFill>
                          <a:round/>
                        </a:ln>
                        <a:effectLst>
                          <a:outerShdw kx="-2453608" rotWithShape="0" sy="50000">
                            <a:srgbClr val="b4c6e7">
                              <a:alpha val="50000"/>
                            </a:srgbClr>
                          </a:outerShdw>
                        </a:effectLst>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wps:txbx>
                      <wps:bodyPr anchor="t" upright="1">
                        <a:noAutofit/>
                      </wps:bodyPr>
                    </wps:wsp>
                  </a:graphicData>
                </a:graphic>
              </wp:inline>
            </w:drawing>
          </mc:Choice>
          <mc:Fallback>
            <w:pict/>
          </mc:Fallback>
        </mc:AlternateContent>
      </w:r>
    </w:p>
    <w:p>
      <w:pPr>
        <w:pStyle w:val="Normal"/>
        <w:ind w:hanging="0" w:left="0" w:right="0"/>
        <w:jc w:val="left"/>
        <w:rPr>
          <w:sz w:val="20"/>
          <w:szCs w:val="20"/>
        </w:rPr>
      </w:pPr>
      <w:r>
        <w:rPr>
          <w:rFonts w:ascii="Calibri" w:hAnsi="Calibri"/>
          <w:color w:val="002060"/>
          <w:sz w:val="20"/>
          <w:szCs w:val="20"/>
        </w:rPr>
        <w:t xml:space="preserve"/>
      </w:r>
    </w:p>
    <w:p>
      <w:pPr>
        <w:pStyle w:val="Normal"/>
        <w:numPr>
          <w:ilvl w:val="0"/>
          <w:numId w:val="5"/>
        </w:numPr>
        <w:jc w:val="left"/>
        <w:rPr>
          <w:sz w:val="20"/>
          <w:szCs w:val="20"/>
        </w:rPr>
      </w:pPr>
      <w:r>
        <w:rPr>
          <w:rFonts w:ascii="Calibri" w:hAnsi="Calibri"/>
          <w:b/>
          <w:bCs/>
          <w:color w:val="002060"/>
          <w:sz w:val="20"/>
          <w:szCs w:val="20"/>
        </w:rPr>
        <w:t xml:space="preserve">ERP et gestion de production:</w:t>
      </w:r>
      <w:r>
        <w:rPr>
          <w:rFonts w:ascii="Calibri" w:hAnsi="Calibri"/>
          <w:color w:val="002060"/>
          <w:sz w:val="20"/>
          <w:szCs w:val="20"/>
        </w:rPr>
        <w:t xml:space="preserve"> INDUSTRIA, DIVALTO</w:t>
      </w:r>
    </w:p>
    <w:p>
      <w:pPr>
        <w:pStyle w:val="Normal"/>
        <w:ind w:hanging="0" w:left="0" w:right="0"/>
        <w:jc w:val="left"/>
        <w:rPr>
          <w:sz w:val="20"/>
          <w:szCs w:val="20"/>
        </w:rPr>
      </w:pPr>
      <w:r>
        <w:rPr>
          <w:rFonts w:ascii="Calibri" w:hAnsi="Calibri"/>
          <w:color w:val="002060"/>
          <w:sz w:val="20"/>
          <w:szCs w:val="20"/>
        </w:rPr>
        <w:t xml:space="preserve"/>
      </w:r>
    </w:p>
    <w:p>
      <w:pPr>
        <w:pStyle w:val="Normal"/>
        <w:numPr>
          <w:ilvl w:val="0"/>
          <w:numId w:val="5"/>
        </w:numPr>
        <w:jc w:val="left"/>
        <w:rPr>
          <w:sz w:val="20"/>
          <w:szCs w:val="20"/>
        </w:rPr>
      </w:pPr>
      <w:r>
        <w:rPr>
          <w:rFonts w:ascii="Calibri" w:hAnsi="Calibri"/>
          <w:b/>
          <w:bCs/>
          <w:color w:val="002060"/>
          <w:sz w:val="20"/>
          <w:szCs w:val="20"/>
        </w:rPr>
        <w:t xml:space="preserve">Outils de mesure et de contrôle:</w:t>
      </w:r>
      <w:r>
        <w:rPr>
          <w:rFonts w:ascii="Calibri" w:hAnsi="Calibri"/>
          <w:color w:val="002060"/>
          <w:sz w:val="20"/>
          <w:szCs w:val="20"/>
        </w:rPr>
        <w:t xml:space="preserve"> Multimètre numérique, Testeur de continuité, Caméra RX pour inspection BGA, Microscope binoculaire</w:t>
      </w:r>
    </w:p>
    <w:p>
      <w:pPr>
        <w:pStyle w:val="Normal"/>
        <w:ind w:hanging="0" w:left="0" w:right="0"/>
        <w:jc w:val="left"/>
        <w:rPr>
          <w:sz w:val="20"/>
          <w:szCs w:val="20"/>
        </w:rPr>
      </w:pPr>
      <w:r>
        <w:rPr>
          <w:rFonts w:ascii="Calibri" w:hAnsi="Calibri"/>
          <w:color w:val="002060"/>
          <w:sz w:val="20"/>
          <w:szCs w:val="20"/>
        </w:rPr>
        <w:t xml:space="preserve"/>
      </w:r>
    </w:p>
    <w:p>
      <w:pPr>
        <w:pStyle w:val="Normal"/>
        <w:numPr>
          <w:ilvl w:val="0"/>
          <w:numId w:val="5"/>
        </w:numPr>
        <w:jc w:val="left"/>
        <w:rPr>
          <w:sz w:val="20"/>
          <w:szCs w:val="20"/>
        </w:rPr>
      </w:pPr>
      <w:r>
        <w:rPr>
          <w:rFonts w:ascii="Calibri" w:hAnsi="Calibri"/>
          <w:b/>
          <w:bCs/>
          <w:color w:val="002060"/>
          <w:sz w:val="20"/>
          <w:szCs w:val="20"/>
        </w:rPr>
        <w:t xml:space="preserve">Équipements de soudure et de traitement:</w:t>
      </w:r>
      <w:r>
        <w:rPr>
          <w:rFonts w:ascii="Calibri" w:hAnsi="Calibri"/>
          <w:color w:val="002060"/>
          <w:sz w:val="20"/>
          <w:szCs w:val="20"/>
        </w:rPr>
        <w:t xml:space="preserve"> Station de brasage manuel, Fer à souder, Bain d'étamage, Four de refusion, Laser IR, Laser UV</w:t>
      </w:r>
    </w:p>
    <w:p>
      <w:pPr>
        <w:pStyle w:val="Normal"/>
        <w:ind w:hanging="0" w:left="0" w:right="0"/>
        <w:jc w:val="left"/>
        <w:rPr>
          <w:sz w:val="20"/>
          <w:szCs w:val="20"/>
        </w:rPr>
      </w:pPr>
      <w:r>
        <w:rPr>
          <w:rFonts w:ascii="Calibri" w:hAnsi="Calibri"/>
          <w:color w:val="002060"/>
          <w:sz w:val="20"/>
          <w:szCs w:val="20"/>
        </w:rPr>
        <w:t xml:space="preserve"/>
      </w:r>
    </w:p>
    <w:p>
      <w:pPr>
        <w:pStyle w:val="Normal"/>
        <w:numPr>
          <w:ilvl w:val="0"/>
          <w:numId w:val="5"/>
        </w:numPr>
        <w:jc w:val="left"/>
        <w:rPr>
          <w:sz w:val="20"/>
          <w:szCs w:val="20"/>
        </w:rPr>
      </w:pPr>
      <w:r>
        <w:rPr>
          <w:rFonts w:ascii="Calibri" w:hAnsi="Calibri"/>
          <w:b/>
          <w:bCs/>
          <w:color w:val="002060"/>
          <w:sz w:val="20"/>
          <w:szCs w:val="20"/>
        </w:rPr>
        <w:t xml:space="preserve">Gestion de la qualité et conformité:</w:t>
      </w:r>
      <w:r>
        <w:rPr>
          <w:rFonts w:ascii="Calibri" w:hAnsi="Calibri"/>
          <w:color w:val="002060"/>
          <w:sz w:val="20"/>
          <w:szCs w:val="20"/>
        </w:rPr>
        <w:t xml:space="preserve"> Documentation ISO/ESD, Check‑list 5S, Normes ECSS‑Q‑ST‑70‑38/70‑61C</w:t>
      </w:r>
    </w:p>
    <w:p>
      <w:pPr>
        <w:pStyle w:val="Normal"/>
        <w:ind w:hanging="0" w:left="0" w:right="0"/>
        <w:jc w:val="left"/>
        <w:rPr>
          <w:sz w:val="20"/>
          <w:szCs w:val="20"/>
        </w:rPr>
      </w:pPr>
      <w:r>
        <w:rPr>
          <w:rFonts w:ascii="Calibri" w:hAnsi="Calibri"/>
          <w:color w:val="002060"/>
          <w:sz w:val="20"/>
          <w:szCs w:val="20"/>
        </w:rPr>
        <w:t xml:space="preserve"/>
      </w:r>
    </w:p>
    <w:p>
      <w:pPr>
        <w:pStyle w:val="Normal"/>
        <w:spacing w:before="0" w:after="19"/>
        <w:rPr>
          <w:rFonts w:ascii="Calibri" w:hAnsi="Calibri"/>
        </w:rPr>
      </w:pPr>
      <w:r>
        <w:rPr/>
        <mc:AlternateContent>
          <mc:Choice Requires="wps">
            <w:drawing>
              <wp:inline distT="0" distB="0" distL="0" distR="0" wp14:anchorId="2B8C2465">
                <wp:extent cx="6494145" cy="309880"/>
                <wp:effectExtent l="11430" t="7620" r="257175" b="6350"/>
                <wp:docPr id="1003" name="Zone de texte 2"/>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700">
                          <a:solidFill>
                            <a:srgbClr val="02466d"/>
                          </a:solidFill>
                          <a:round/>
                        </a:ln>
                        <a:effectLst>
                          <a:outerShdw kx="-2453608" rotWithShape="0" sy="50000">
                            <a:srgbClr val="b4c6e7">
                              <a:alpha val="50000"/>
                            </a:srgbClr>
                          </a:outerShdw>
                        </a:effectLst>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wps:txbx>
                      <wps:bodyPr anchor="t" upright="1">
                        <a:noAutofit/>
                      </wps:bodyPr>
                    </wps:wsp>
                  </a:graphicData>
                </a:graphic>
              </wp:inline>
            </w:drawing>
          </mc:Choice>
          <mc:Fallback>
            <w:pict/>
          </mc:Fallback>
        </mc:AlternateContent>
      </w:r>
    </w:p>
    <w:p>
      <w:pPr>
        <w:pStyle w:val="Normal"/>
        <w:spacing w:before="0" w:after="19"/>
        <w:rPr>
          <w:sz w:val="20"/>
          <w:szCs w:val="20"/>
        </w:rPr>
      </w:pPr>
      <w:r>
        <w:rPr>
          <w:rFonts w:ascii="Calibri" w:hAnsi="Calibri"/>
          <w:color w:val="002060"/>
          <w:sz w:val="20"/>
          <w:szCs w:val="20"/>
        </w:rPr>
        <w:t xml:space="preserve"/>
      </w:r>
    </w:p>
    <w:p>
      <w:pPr>
        <w:pStyle w:val="Normal"/>
        <w:numPr>
          <w:ilvl w:val="0"/>
          <w:numId w:val="7"/>
        </w:numPr>
        <w:spacing w:before="0" w:after="19"/>
        <w:rPr>
          <w:sz w:val="20"/>
          <w:szCs w:val="20"/>
        </w:rPr>
      </w:pPr>
      <w:r>
        <w:rPr>
          <w:rFonts w:ascii="Calibri" w:hAnsi="Calibri"/>
          <w:color w:val="002060"/>
          <w:sz w:val="20"/>
          <w:szCs w:val="20"/>
        </w:rPr>
        <w:t xml:space="preserve">Aérospatial</w:t>
      </w:r>
    </w:p>
    <w:p>
      <w:pPr>
        <w:pStyle w:val="Normal"/>
        <w:spacing w:before="0" w:after="19"/>
        <w:rPr>
          <w:sz w:val="20"/>
          <w:szCs w:val="20"/>
        </w:rPr>
      </w:pPr>
      <w:r>
        <w:rPr>
          <w:rFonts w:ascii="Calibri" w:hAnsi="Calibri"/>
          <w:color w:val="002060"/>
          <w:sz w:val="20"/>
          <w:szCs w:val="20"/>
        </w:rPr>
        <w:t xml:space="preserve"/>
      </w:r>
    </w:p>
    <w:p>
      <w:pPr>
        <w:pStyle w:val="Normal"/>
        <w:rPr>
          <w:rFonts w:ascii="Calibri" w:hAnsi="Calibri"/>
        </w:rPr>
      </w:pPr>
      <w:r>
        <w:rPr/>
        <mc:AlternateContent>
          <mc:Choice Requires="wps">
            <w:drawing>
              <wp:inline distT="0" distB="0" distL="0" distR="0" wp14:anchorId="261286E2">
                <wp:extent cx="6494145" cy="309880"/>
                <wp:effectExtent l="11430" t="9525" r="257175" b="13970"/>
                <wp:docPr id="1004" name="Zone de texte 2"/>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700">
                          <a:solidFill>
                            <a:srgbClr val="02466d"/>
                          </a:solidFill>
                          <a:round/>
                        </a:ln>
                        <a:effectLst>
                          <a:outerShdw kx="-2453608" rotWithShape="0" sy="50000">
                            <a:srgbClr val="b4c6e7">
                              <a:alpha val="50000"/>
                            </a:srgbClr>
                          </a:outerShdw>
                        </a:effectLst>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wps:txbx>
                      <wps:bodyPr anchor="t" upright="1">
                        <a:noAutofit/>
                      </wps:bodyPr>
                    </wps:wsp>
                  </a:graphicData>
                </a:graphic>
              </wp:inline>
            </w:drawing>
          </mc:Choice>
          <mc:Fallback>
            <w:pict/>
          </mc:Fallback>
        </mc:AlternateContent>
      </w:r>
    </w:p>
    <w:p>
      <w:pPr>
        <w:pStyle w:val="Normal"/>
        <w:rPr>
          <w:sz w:val="20"/>
          <w:szCs w:val="20"/>
        </w:rPr>
      </w:pPr>
      <w:r>
        <w:rPr>
          <w:rFonts w:ascii="Calibri" w:hAnsi="Calibri"/>
          <w:color w:val="002060"/>
          <w:sz w:val="20"/>
          <w:szCs w:val="20"/>
        </w:rPr>
        <w:t xml:space="preserve">Brasage manuel selon les normes spatiales</w:t>
      </w:r>
    </w:p>
    <w:p>
      <w:pPr>
        <w:pStyle w:val="Normal"/>
        <w:rPr>
          <w:sz w:val="20"/>
          <w:szCs w:val="20"/>
        </w:rPr>
      </w:pPr>
      <w:r>
        <w:rPr>
          <w:sz w:val="20"/>
          <w:szCs w:val="20"/>
        </w:rPr>
      </w:r>
    </w:p>
    <w:p>
      <w:pPr>
        <w:pStyle w:val="Normal"/>
        <w:rPr>
          <w:sz w:val="20"/>
          <w:szCs w:val="20"/>
        </w:rPr>
      </w:pPr>
      <w:r>
        <w:rPr>
          <w:rFonts w:ascii="Calibri" w:hAnsi="Calibri"/>
          <w:color w:val="002060"/>
          <w:sz w:val="20"/>
          <w:szCs w:val="20"/>
        </w:rPr>
        <w:t xml:space="preserve">Prévention des risques chimiques</w:t>
      </w:r>
    </w:p>
    <w:p>
      <w:pPr>
        <w:pStyle w:val="Normal"/>
        <w:rPr>
          <w:sz w:val="20"/>
          <w:szCs w:val="20"/>
        </w:rPr>
      </w:pPr>
      <w:r>
        <w:rPr>
          <w:sz w:val="20"/>
          <w:szCs w:val="20"/>
        </w:rPr>
      </w:r>
    </w:p>
    <w:p>
      <w:pPr>
        <w:pStyle w:val="Normal"/>
        <w:rPr>
          <w:sz w:val="20"/>
          <w:szCs w:val="20"/>
        </w:rPr>
      </w:pPr>
      <w:r>
        <w:rPr>
          <w:rFonts w:ascii="Calibri" w:hAnsi="Calibri"/>
          <w:color w:val="002060"/>
          <w:sz w:val="20"/>
          <w:szCs w:val="20"/>
        </w:rPr>
        <w:t xml:space="preserve">Utilisation et manipulation d'une binoculaire. Formation externe (SFM)</w:t>
      </w:r>
    </w:p>
    <w:p>
      <w:pPr>
        <w:pStyle w:val="Normal"/>
        <w:rPr>
          <w:sz w:val="20"/>
          <w:szCs w:val="20"/>
        </w:rPr>
      </w:pPr>
      <w:r>
        <w:rPr>
          <w:sz w:val="20"/>
          <w:szCs w:val="20"/>
        </w:rPr>
      </w:r>
    </w:p>
    <w:p>
      <w:pPr>
        <w:pStyle w:val="Normal"/>
        <w:rPr>
          <w:sz w:val="20"/>
          <w:szCs w:val="20"/>
        </w:rPr>
      </w:pPr>
      <w:r>
        <w:rPr>
          <w:rFonts w:ascii="Calibri" w:hAnsi="Calibri"/>
          <w:color w:val="002060"/>
          <w:sz w:val="20"/>
          <w:szCs w:val="20"/>
        </w:rPr>
        <w:t xml:space="preserve">Certification de l'ESA en Brasage manuel au fer en spatial selon la norme ECSS-Q-ST-70-38 de l’ESA (CMS-ESA) ESA</w:t>
      </w:r>
    </w:p>
    <w:p>
      <w:pPr>
        <w:pStyle w:val="Normal"/>
        <w:rPr>
          <w:sz w:val="20"/>
          <w:szCs w:val="20"/>
        </w:rPr>
      </w:pPr>
      <w:r>
        <w:rPr>
          <w:sz w:val="20"/>
          <w:szCs w:val="20"/>
        </w:rPr>
      </w:r>
    </w:p>
    <w:p>
      <w:pPr>
        <w:pStyle w:val="Normal"/>
        <w:rPr>
          <w:sz w:val="20"/>
          <w:szCs w:val="20"/>
        </w:rPr>
      </w:pPr>
      <w:r>
        <w:rPr>
          <w:rFonts w:ascii="Calibri" w:hAnsi="Calibri"/>
          <w:color w:val="002060"/>
          <w:sz w:val="20"/>
          <w:szCs w:val="20"/>
        </w:rPr>
        <w:t xml:space="preserve">Certification de l'ESA en Brasage manuel au fer en spatial selon la norme ECSS-Q-ST-70-61C de l’ESA (Traversant et Filaire) ESA</w:t>
      </w:r>
    </w:p>
    <w:p>
      <w:pPr>
        <w:pStyle w:val="Normal"/>
        <w:rPr>
          <w:sz w:val="20"/>
          <w:szCs w:val="20"/>
        </w:rPr>
      </w:pPr>
      <w:r>
        <w:rPr>
          <w:sz w:val="20"/>
          <w:szCs w:val="20"/>
        </w:rPr>
      </w:r>
    </w:p>
    <w:p>
      <w:pPr>
        <w:pStyle w:val="Normal"/>
        <w:rPr>
          <w:sz w:val="20"/>
          <w:szCs w:val="20"/>
        </w:rPr>
      </w:pPr>
      <w:r>
        <w:rPr>
          <w:rFonts w:ascii="Calibri" w:hAnsi="Calibri"/>
          <w:color w:val="002060"/>
          <w:sz w:val="20"/>
          <w:szCs w:val="20"/>
        </w:rPr>
        <w:t xml:space="preserve">Formateur câblage</w:t>
      </w:r>
    </w:p>
    <w:p>
      <w:pPr>
        <w:pStyle w:val="Normal"/>
        <w:rPr>
          <w:sz w:val="20"/>
          <w:szCs w:val="20"/>
        </w:rPr>
      </w:pPr>
      <w:r>
        <w:rPr>
          <w:sz w:val="20"/>
          <w:szCs w:val="20"/>
        </w:rPr>
      </w:r>
    </w:p>
    <w:p>
      <w:pPr>
        <w:pStyle w:val="Normal"/>
        <w:rPr>
          <w:sz w:val="20"/>
          <w:szCs w:val="20"/>
        </w:rPr>
      </w:pPr>
      <w:r>
        <w:rPr>
          <w:rFonts w:ascii="Calibri" w:hAnsi="Calibri"/>
          <w:color w:val="002060"/>
          <w:sz w:val="20"/>
          <w:szCs w:val="20"/>
        </w:rPr>
        <w:t xml:space="preserve"/>
      </w:r>
    </w:p>
    <w:p>
      <w:pPr>
        <w:pStyle w:val="BodyText"/>
        <w:rPr>
          <w:sz w:val="20"/>
          <w:szCs w:val="20"/>
        </w:rPr>
      </w:pPr>
      <w:r>
        <w:rPr>
          <w:rFonts w:ascii="Calibri" w:hAnsi="Calibri"/>
          <w:b w:val="false"/>
          <w:bCs w:val="false"/>
          <w:color w:val="002060"/>
          <w:sz w:val="20"/>
          <w:szCs w:val="20"/>
        </w:rPr>
        <w:t xml:space="preserve"/>
      </w:r>
    </w:p>
    <w:p>
      <w:pPr>
        <w:pStyle w:val="Normal"/>
        <w:rPr>
          <w:rFonts w:ascii="Calibri" w:hAnsi="Calibri"/>
        </w:rPr>
      </w:pPr>
      <w:r>
        <w:rPr/>
        <mc:AlternateContent>
          <mc:Choice Requires="wps">
            <w:drawing>
              <wp:inline distT="0" distB="0" distL="0" distR="0" wp14:anchorId="321EBBB5">
                <wp:extent cx="6494145" cy="309880"/>
                <wp:effectExtent l="11430" t="10795" r="257175" b="12700"/>
                <wp:docPr id="1005" name="Zone de texte 1"/>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700">
                          <a:solidFill>
                            <a:srgbClr val="02466d"/>
                          </a:solidFill>
                          <a:round/>
                        </a:ln>
                        <a:effectLst>
                          <a:outerShdw kx="-2453608" rotWithShape="0" sy="50000">
                            <a:srgbClr val="b4c6e7">
                              <a:alpha val="50000"/>
                            </a:srgbClr>
                          </a:outerShdw>
                        </a:effectLst>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wps:txbx>
                      <wps:bodyPr anchor="t" upright="1">
                        <a:noAutofit/>
                      </wps:bodyPr>
                    </wps:wsp>
                  </a:graphicData>
                </a:graphic>
              </wp:inline>
            </w:drawing>
          </mc:Choice>
          <mc:Fallback>
            <w:pict/>
          </mc:Fallback>
        </mc:AlternateContent>
      </w:r>
    </w:p>
    <w:p>
      <w:pPr>
        <w:pStyle w:val="BodyText"/>
        <w:rPr>
          <w:sz w:val="20"/>
          <w:szCs w:val="20"/>
        </w:rPr>
      </w:pPr>
      <w:r>
        <w:rPr>
          <w:rFonts w:cs="Calibri" w:ascii="Calibri" w:hAnsi="Calibri"/>
          <w:b w:val="false"/>
          <w:bCs w:val="false"/>
          <w:i w:val="false"/>
          <w:iCs w:val="false"/>
          <w:color w:val="002060"/>
          <w:sz w:val="20"/>
          <w:szCs w:val="20"/>
        </w:rPr>
        <w:t xml:space="preserve">3D PLUS\t\t2020 - présent  </w:t>
      </w:r>
    </w:p>
    <w:p>
      <w:pPr>
        <w:pStyle w:val="BodyText"/>
        <w:rPr>
          <w:rFonts w:ascii="Calibri" w:hAnsi="Calibri"/>
          <w:color w:val="002060"/>
          <w:sz w:val="20"/>
          <w:szCs w:val="20"/>
        </w:rPr>
      </w:pPr>
      <w:r>
        <w:rPr>
          <w:rFonts w:ascii="Calibri" w:hAnsi="Calibri"/>
          <w:color w:val="002060"/>
          <w:sz w:val="20"/>
          <w:szCs w:val="20"/>
        </w:rPr>
        <mc:AlternateContent>
          <mc:Choice Requires="wps">
            <w:drawing>
              <wp:anchor behindDoc="0" distT="635" distB="635" distL="635" distR="635" simplePos="0" locked="0" layoutInCell="1" allowOverlap="1" relativeHeight="19">
                <wp:simplePos x="0" y="0"/>
                <wp:positionH relativeFrom="column">
                  <wp:posOffset>12065</wp:posOffset>
                </wp:positionH>
                <wp:positionV relativeFrom="paragraph">
                  <wp:posOffset>-15875</wp:posOffset>
                </wp:positionV>
                <wp:extent cx="6500495" cy="8255"/>
                <wp:effectExtent l="635" t="635" r="635" b="635"/>
                <wp:wrapNone/>
                <wp:docPr id="1006" name="Ligne 1"/>
                <a:graphic xmlns:a="http://schemas.openxmlformats.org/drawingml/2006/main">
                  <a:graphicData uri="http://schemas.microsoft.com/office/word/2010/wordprocessingShape">
                    <wps:wsp>
                      <wps:cNvSpPr/>
                      <wps:spPr>
                        <a:xfrm>
                          <a:off x="0" y="0"/>
                          <a:ext cx="6500520" cy="82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0.95pt,-1.25pt" to="512.75pt,-0.65pt" ID="Ligne 1" stroked="t" o:allowincell="f" style="position:absolute">
                <v:stroke color="#3465a4" joinstyle="round" endcap="flat"/>
                <v:fill o:detectmouseclick="t" on="false"/>
                <w10:wrap type="none"/>
              </v:line>
            </w:pict>
          </mc:Fallback>
        </mc:AlternateContent>
      </w:r>
    </w:p>
    <w:p>
      <w:pPr>
        <w:pStyle w:val="BodyText"/>
        <w:numPr>
          <w:ilvl w:val="0"/>
          <w:numId w:val="4"/>
        </w:numPr>
        <w:rPr>
          <w:sz w:val="20"/>
          <w:szCs w:val="20"/>
        </w:rPr>
      </w:pPr>
      <w:r>
        <w:rPr>
          <w:rFonts w:ascii="Calibri" w:hAnsi="Calibri"/>
          <w:b/>
          <w:bCs/>
          <w:color w:val="002060"/>
          <w:sz w:val="20"/>
          <w:szCs w:val="20"/>
        </w:rPr>
        <w:t xml:space="preserve">Câbleur Microélectronique dans le Spatial</w:t>
      </w:r>
    </w:p>
    <w:p>
      <w:pPr>
        <w:pStyle w:val="BodyText"/>
        <w:rPr>
          <w:sz w:val="20"/>
          <w:szCs w:val="20"/>
        </w:rPr>
      </w:pPr>
      <w:r>
        <w:rPr>
          <w:rFonts w:ascii="Calibri" w:hAnsi="Calibri"/>
          <w:b w:val="false"/>
          <w:bCs w:val="false"/>
          <w:color w:val="002060"/>
          <w:sz w:val="20"/>
          <w:szCs w:val="20"/>
        </w:rPr>
        <w:t xml:space="preserve"/>
      </w:r>
    </w:p>
    <w:p>
      <w:pPr>
        <w:pStyle w:val="BodyText"/>
        <w:rPr>
          <w:sz w:val="20"/>
          <w:szCs w:val="20"/>
        </w:rPr>
      </w:pPr>
      <w:r>
        <w:rPr>
          <w:rFonts w:ascii="Calibri" w:hAnsi="Calibri"/>
          <w:color w:val="002060"/>
          <w:sz w:val="20"/>
          <w:szCs w:val="20"/>
        </w:rPr>
        <w:t xml:space="preserve">• Identifier l'implantation des composants à partir d'un schéma électronique ou d'un plan de câblage.• Vérifier les composants avant le câblage.• Câbler avec différents types d'alliages : Sn62Pb36Ag2, Sn63Pb37, Sn96Ag4, Sn91,5Sb8,5, Sn5Pb93,5Ag1,5 (haute température).• Placer et braser manuellement des composants CMS, traversant ou filaire.• Réaliser un bilage manuel sur une carte électronique.• Réaliser des retouches et/ou réparations selon les défauts identifiés sur une carte.• Réaliser des microsoudures au fer à souder sous binoculaire.• Réaliser le dédorage et l’étamage des composants au fer à souder ou au bain.• Réaliser le dédorage et l’étamage des cartes électroniques au fer.• Contrôler visuellement la conformité des cartes électroniques (sens des composants, aspect de la brasure, etc.) selon les critères du spatial.• Contrôler les photos RX pour les composants BGA (billes).• Tester la continuité des cartes électroniques avec un testeur ou un multimètre.• Travailler et respecter les conditions d’une salle blanche ISO 7.• Former de nouveaux employés.</w:t>
      </w:r>
    </w:p>
    <w:p>
      <w:pPr>
        <w:pStyle w:val="BodyText"/>
        <w:rPr>
          <w:sz w:val="20"/>
          <w:szCs w:val="20"/>
        </w:rPr>
      </w:pPr>
      <w:r>
        <w:rPr>
          <w:rFonts w:ascii="Calibri" w:hAnsi="Calibri"/>
          <w:b w:val="false"/>
          <w:bCs w:val="false"/>
          <w:color w:val="002060"/>
          <w:sz w:val="20"/>
          <w:szCs w:val="20"/>
        </w:rPr>
        <w:t xml:space="preserve"/>
      </w:r>
    </w:p>
    <w:p>
      <w:pPr>
        <w:pStyle w:val="BodyText"/>
        <w:rPr>
          <w:sz w:val="20"/>
          <w:szCs w:val="20"/>
        </w:rPr>
      </w:pPr>
      <w:r>
        <w:rPr>
          <w:rFonts w:cs="Calibri" w:ascii="Calibri" w:hAnsi="Calibri"/>
          <w:b w:val="false"/>
          <w:bCs w:val="false"/>
          <w:i w:val="false"/>
          <w:iCs w:val="false"/>
          <w:color w:val="002060"/>
          <w:sz w:val="20"/>
          <w:szCs w:val="20"/>
          <w:u w:val="none"/>
        </w:rPr>
        <w:t xml:space="preserve">3D PLUS\t\t2016 - 2020  </w:t>
      </w:r>
    </w:p>
    <w:p>
      <w:pPr>
        <w:pStyle w:val="BodyText"/>
        <w:rPr>
          <w:rFonts w:ascii="Calibri" w:hAnsi="Calibri"/>
          <w:color w:val="002060"/>
          <w:sz w:val="20"/>
          <w:szCs w:val="20"/>
        </w:rPr>
      </w:pPr>
      <w:r>
        <w:rPr>
          <w:rFonts w:ascii="Calibri" w:hAnsi="Calibri"/>
          <w:color w:val="002060"/>
          <w:sz w:val="20"/>
          <w:szCs w:val="20"/>
        </w:rPr>
        <mc:AlternateContent>
          <mc:Choice Requires="wps">
            <w:drawing>
              <wp:anchor behindDoc="0" distT="635" distB="635" distL="635" distR="635" simplePos="0" locked="0" layoutInCell="1" allowOverlap="1" relativeHeight="19">
                <wp:simplePos x="0" y="0"/>
                <wp:positionH relativeFrom="column">
                  <wp:posOffset>12065</wp:posOffset>
                </wp:positionH>
                <wp:positionV relativeFrom="paragraph">
                  <wp:posOffset>-15875</wp:posOffset>
                </wp:positionV>
                <wp:extent cx="6500495" cy="8255"/>
                <wp:effectExtent l="635" t="635" r="635" b="635"/>
                <wp:wrapNone/>
                <wp:docPr id="1007" name="Ligne 1"/>
                <a:graphic xmlns:a="http://schemas.openxmlformats.org/drawingml/2006/main">
                  <a:graphicData uri="http://schemas.microsoft.com/office/word/2010/wordprocessingShape">
                    <wps:wsp>
                      <wps:cNvSpPr/>
                      <wps:spPr>
                        <a:xfrm>
                          <a:off x="0" y="0"/>
                          <a:ext cx="6500520" cy="82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0.95pt,-1.25pt" to="512.75pt,-0.65pt" ID="Ligne 1" stroked="t" o:allowincell="f" style="position:absolute">
                <v:stroke color="#3465a4" joinstyle="round" endcap="flat"/>
                <v:fill o:detectmouseclick="t" on="false"/>
                <w10:wrap type="none"/>
              </v:line>
            </w:pict>
          </mc:Fallback>
        </mc:AlternateContent>
      </w:r>
    </w:p>
    <w:p>
      <w:pPr>
        <w:pStyle w:val="BodyText"/>
        <w:numPr>
          <w:ilvl w:val="0"/>
          <w:numId w:val="4"/>
        </w:numPr>
        <w:rPr>
          <w:sz w:val="20"/>
          <w:szCs w:val="20"/>
        </w:rPr>
      </w:pPr>
      <w:r>
        <w:rPr>
          <w:rFonts w:ascii="Calibri" w:hAnsi="Calibri"/>
          <w:b/>
          <w:bCs/>
          <w:color w:val="002060"/>
          <w:sz w:val="20"/>
          <w:szCs w:val="20"/>
        </w:rPr>
        <w:t xml:space="preserve">Opérateur de production dans le Spatial</w:t>
      </w:r>
    </w:p>
    <w:p>
      <w:pPr>
        <w:pStyle w:val="BodyText"/>
        <w:rPr>
          <w:sz w:val="20"/>
          <w:szCs w:val="20"/>
        </w:rPr>
      </w:pPr>
      <w:r>
        <w:rPr>
          <w:rFonts w:ascii="Calibri" w:hAnsi="Calibri"/>
          <w:b w:val="false"/>
          <w:bCs w:val="false"/>
          <w:color w:val="002060"/>
          <w:sz w:val="20"/>
          <w:szCs w:val="20"/>
        </w:rPr>
        <w:t xml:space="preserve"/>
      </w:r>
    </w:p>
    <w:p>
      <w:pPr>
        <w:pStyle w:val="BodyText"/>
        <w:rPr>
          <w:sz w:val="20"/>
          <w:szCs w:val="20"/>
        </w:rPr>
      </w:pPr>
      <w:r>
        <w:rPr>
          <w:rFonts w:ascii="Calibri" w:hAnsi="Calibri"/>
          <w:color w:val="002060"/>
          <w:sz w:val="20"/>
          <w:szCs w:val="20"/>
        </w:rPr>
        <w:t xml:space="preserve">• Redresser manuellement et automatiquement les pattes des TSOP/TSSOP.• Étamer au bain les pattes des TSOP/TSSOP.• Sabler le corps des TSOP/TSSOP.• Réaliser l’étanchéité des circuits connectiques à l'aide d’une résine en la déposant avec une seringue.• Empiler les composants TSOP/TSSOP en les collant.• Empiler des circuits électroniques câblés.• Enrober les empilages de composants électroniques avec de la résine.• Ouvrir et sérialiser des circuits imprimés au laser IR et UV.</w:t>
      </w:r>
    </w:p>
    <w:p>
      <w:pPr>
        <w:pStyle w:val="BodyText"/>
        <w:rPr>
          <w:sz w:val="20"/>
          <w:szCs w:val="20"/>
        </w:rPr>
      </w:pPr>
      <w:r>
        <w:rPr>
          <w:rFonts w:ascii="Calibri" w:hAnsi="Calibri"/>
          <w:b w:val="false"/>
          <w:bCs w:val="false"/>
          <w:color w:val="002060"/>
          <w:sz w:val="20"/>
          <w:szCs w:val="20"/>
        </w:rPr>
        <w:t xml:space="preserve"/>
      </w:r>
    </w:p>
    <w:p>
      <w:pPr>
        <w:pStyle w:val="BodyText"/>
        <w:rPr>
          <w:sz w:val="20"/>
          <w:szCs w:val="20"/>
        </w:rPr>
      </w:pPr>
      <w:r>
        <w:rPr>
          <w:rFonts w:cs="Calibri" w:ascii="Calibri" w:hAnsi="Calibri"/>
          <w:b w:val="false"/>
          <w:bCs w:val="false"/>
          <w:i w:val="false"/>
          <w:iCs w:val="false"/>
          <w:color w:val="002060"/>
          <w:sz w:val="20"/>
          <w:szCs w:val="20"/>
          <w:u w:val="none"/>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9" w:right="748" w:gutter="0" w:header="283" w:top="850" w:footer="214" w:bottom="127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Lucida Sans Unicode">
    <w:charset w:val="01"/>
    <w:family w:val="roman"/>
    <w:pitch w:val="variable"/>
  </w:font>
  <w:font w:name="Arial">
    <w:charset w:val="01"/>
    <w:family w:val="roman"/>
    <w:pitch w:val="variable"/>
  </w:font>
  <w:font w:name="Liberation Mono">
    <w:altName w:val="Courier New"/>
    <w:charset w:val="01"/>
    <w:family w:val="roman"/>
    <w:pitch w:val="variable"/>
  </w:font>
  <w:font w:name="Open Sauce Sans Ligh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61C7E1A7">
              <wp:simplePos x="0" y="0"/>
              <wp:positionH relativeFrom="page">
                <wp:posOffset>3596640</wp:posOffset>
              </wp:positionH>
              <wp:positionV relativeFrom="page">
                <wp:posOffset>9914255</wp:posOffset>
              </wp:positionV>
              <wp:extent cx="363855" cy="320675"/>
              <wp:effectExtent l="1270" t="1270" r="0" b="0"/>
              <wp:wrapNone/>
              <wp:docPr id="12" name="Rectangle 4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Rectangle 4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61C7E1A7"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cs="Arial" w:ascii="Open Sauce Sans Light" w:hAnsi="Open Sauce Sans Light"/>
        <w:bCs/>
        <w:color w:val="002060"/>
        <w:sz w:val="16"/>
        <w:szCs w:val="16"/>
        <w:lang w:val="it-IT"/>
      </w:rPr>
      <w:t>simon.zana@nava-eng.com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61C7E1A7">
              <wp:simplePos x="0" y="0"/>
              <wp:positionH relativeFrom="page">
                <wp:posOffset>3596640</wp:posOffset>
              </wp:positionH>
              <wp:positionV relativeFrom="page">
                <wp:posOffset>9914255</wp:posOffset>
              </wp:positionV>
              <wp:extent cx="363855" cy="320675"/>
              <wp:effectExtent l="1270" t="1270" r="0" b="0"/>
              <wp:wrapNone/>
              <wp:docPr id="13" name="Rectangle 4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 id="shape_0" ID="Rectangle 4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61C7E1A7"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cs="Arial" w:ascii="Open Sauce Sans Light" w:hAnsi="Open Sauce Sans Light"/>
        <w:bCs/>
        <w:color w:val="002060"/>
        <w:sz w:val="16"/>
        <w:szCs w:val="16"/>
        <w:lang w:val="it-IT"/>
      </w:rPr>
      <w:t>simon.zana@nava-eng.com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32"/>
        <w:szCs w:val="32"/>
      </w:rPr>
    </w:pPr>
    <w:r>
      <mc:AlternateContent>
        <mc:Choice Requires="wps">
          <w:drawing>
            <wp:anchor behindDoc="1" distT="13970" distB="12700" distL="13970" distR="12700" simplePos="0" locked="0" layoutInCell="0" allowOverlap="1" relativeHeight="16" wp14:anchorId="123A3517">
              <wp:simplePos x="0" y="0"/>
              <wp:positionH relativeFrom="page">
                <wp:posOffset>26670</wp:posOffset>
              </wp:positionH>
              <wp:positionV relativeFrom="page">
                <wp:posOffset>52705</wp:posOffset>
              </wp:positionV>
              <wp:extent cx="7493635" cy="9808845"/>
              <wp:effectExtent l="13970" t="13970" r="12700" b="12700"/>
              <wp:wrapNone/>
              <wp:docPr id="8" name="Rectangle 452"/>
              <a:graphic xmlns:a="http://schemas.openxmlformats.org/drawingml/2006/main">
                <a:graphicData uri="http://schemas.microsoft.com/office/word/2010/wordprocessingShape">
                  <wps:wsp>
                    <wps:cNvSpPr/>
                    <wps:spPr>
                      <a:xfrm>
                        <a:off x="0" y="0"/>
                        <a:ext cx="7493760" cy="9808920"/>
                      </a:xfrm>
                      <a:prstGeom prst="roundRect">
                        <a:avLst>
                          <a:gd name="adj" fmla="val 1931"/>
                        </a:avLst>
                      </a:prstGeom>
                      <a:noFill/>
                      <a:ln w="25400">
                        <a:solidFill>
                          <a:srgbClr val="02466d"/>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20">
          <wp:simplePos x="0" y="0"/>
          <wp:positionH relativeFrom="column">
            <wp:posOffset>31115</wp:posOffset>
          </wp:positionH>
          <wp:positionV relativeFrom="paragraph">
            <wp:posOffset>33020</wp:posOffset>
          </wp:positionV>
          <wp:extent cx="1474470" cy="774065"/>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
                  <a:srcRect l="0" t="20114" r="3660" b="22451"/>
                  <a:stretch>
                    <a:fillRect/>
                  </a:stretch>
                </pic:blipFill>
                <pic:spPr bwMode="auto">
                  <a:xfrm>
                    <a:off x="0" y="0"/>
                    <a:ext cx="1474470" cy="774065"/>
                  </a:xfrm>
                  <a:prstGeom prst="rect">
                    <a:avLst/>
                  </a:prstGeom>
                </pic:spPr>
              </pic:pic>
            </a:graphicData>
          </a:graphic>
        </wp:anchor>
      </w:drawing>
    </w:r>
    <w:r>
      <w:rPr>
        <w:rFonts w:cs="Calibri" w:ascii="Calibri" w:hAnsi="Calibri"/>
        <w:b/>
        <w:bCs/>
        <w:color w:val="002060"/>
        <w:sz w:val="32"/>
        <w:szCs w:val="32"/>
      </w:rPr>
      <w:t xml:space="preserve">MBI</w:t>
      <w:br/>
      <w:t xml:space="preserve">Câbleur Microélectronique</w:t>
    </w:r>
  </w:p>
  <w:p>
    <w:pPr>
      <w:pStyle w:val="Normal"/>
      <w:jc w:val="right"/>
      <w:rPr>
        <w:sz w:val="32"/>
        <w:szCs w:val="32"/>
      </w:rPr>
    </w:pPr>
    <w:r>
      <w:rPr>
        <w:rFonts w:cs="Calibri" w:ascii="Calibri" w:hAnsi="Calibri"/>
        <w:b/>
        <w:bCs/>
        <w:color w:val="002060"/>
        <w:sz w:val="32"/>
        <w:szCs w:val="32"/>
      </w:rPr>
      <w:t xml:space="preserve">9 ans d'expériences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32"/>
        <w:szCs w:val="32"/>
      </w:rPr>
    </w:pPr>
    <w:r>
      <mc:AlternateContent>
        <mc:Choice Requires="wps">
          <w:drawing>
            <wp:anchor behindDoc="1" distT="13970" distB="12700" distL="13970" distR="12700" simplePos="0" locked="0" layoutInCell="0" allowOverlap="1" relativeHeight="16" wp14:anchorId="123A3517">
              <wp:simplePos x="0" y="0"/>
              <wp:positionH relativeFrom="page">
                <wp:posOffset>26670</wp:posOffset>
              </wp:positionH>
              <wp:positionV relativeFrom="page">
                <wp:posOffset>52705</wp:posOffset>
              </wp:positionV>
              <wp:extent cx="7493635" cy="9808845"/>
              <wp:effectExtent l="13970" t="13970" r="12700" b="12700"/>
              <wp:wrapNone/>
              <wp:docPr id="10" name="Rectangle 452"/>
              <a:graphic xmlns:a="http://schemas.openxmlformats.org/drawingml/2006/main">
                <a:graphicData uri="http://schemas.microsoft.com/office/word/2010/wordprocessingShape">
                  <wps:wsp>
                    <wps:cNvSpPr/>
                    <wps:spPr>
                      <a:xfrm>
                        <a:off x="0" y="0"/>
                        <a:ext cx="7493760" cy="9808920"/>
                      </a:xfrm>
                      <a:prstGeom prst="roundRect">
                        <a:avLst>
                          <a:gd name="adj" fmla="val 1931"/>
                        </a:avLst>
                      </a:prstGeom>
                      <a:noFill/>
                      <a:ln w="25400">
                        <a:solidFill>
                          <a:srgbClr val="02466d"/>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20">
          <wp:simplePos x="0" y="0"/>
          <wp:positionH relativeFrom="column">
            <wp:posOffset>31115</wp:posOffset>
          </wp:positionH>
          <wp:positionV relativeFrom="paragraph">
            <wp:posOffset>33020</wp:posOffset>
          </wp:positionV>
          <wp:extent cx="1474470" cy="774065"/>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
                  <a:srcRect l="0" t="20114" r="3660" b="22451"/>
                  <a:stretch>
                    <a:fillRect/>
                  </a:stretch>
                </pic:blipFill>
                <pic:spPr bwMode="auto">
                  <a:xfrm>
                    <a:off x="0" y="0"/>
                    <a:ext cx="1474470" cy="774065"/>
                  </a:xfrm>
                  <a:prstGeom prst="rect">
                    <a:avLst/>
                  </a:prstGeom>
                </pic:spPr>
              </pic:pic>
            </a:graphicData>
          </a:graphic>
        </wp:anchor>
      </w:drawing>
    </w:r>
    <w:r>
      <w:rPr>
        <w:rFonts w:cs="Calibri" w:ascii="Calibri" w:hAnsi="Calibri"/>
        <w:b/>
        <w:bCs/>
        <w:color w:val="002060"/>
        <w:sz w:val="32"/>
        <w:szCs w:val="32"/>
      </w:rPr>
      <w:t xml:space="preserve">MBI</w:t>
      <w:br/>
      <w:t xml:space="preserve">Câbleur Microélectronique</w:t>
    </w:r>
  </w:p>
  <w:p>
    <w:pPr>
      <w:pStyle w:val="Normal"/>
      <w:jc w:val="right"/>
      <w:rPr>
        <w:sz w:val="32"/>
        <w:szCs w:val="32"/>
      </w:rPr>
    </w:pPr>
    <w:r>
      <w:rPr>
        <w:rFonts w:cs="Calibri" w:ascii="Calibri" w:hAnsi="Calibri"/>
        <w:b/>
        <w:bCs/>
        <w:color w:val="002060"/>
        <w:sz w:val="32"/>
        <w:szCs w:val="32"/>
      </w:rPr>
      <w:t xml:space="preserve">9 ans d'expériences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65pt;height:165pt" o:bullet="t">
        <v:imagedata r:id="rId1" o:title=""/>
      </v:shape>
    </w:pict>
  </w:numPicBullet>
  <w:abstractNum w:abstractNumId="1">
    <w:lvl w:ilvl="0">
      <w:start w:val="1"/>
      <w:numFmt w:val="bullet"/>
      <w:lvlText w:val=""/>
      <w:lvlJc w:val="left"/>
      <w:pPr>
        <w:tabs>
          <w:tab w:val="num" w:pos="1068"/>
        </w:tabs>
        <w:ind w:left="1068" w:hanging="360"/>
      </w:pPr>
      <w:rPr>
        <w:rFonts w:ascii="Symbol" w:hAnsi="Symbol" w:cs="Symbol" w:hint="default"/>
        <w:sz w:val="16"/>
        <w:spacing w:val="0"/>
        <w:i w:val="false"/>
        <w:b w:val="false"/>
        <w:w w:val="100"/>
        <w:color w:val="4C4C4C"/>
      </w:rPr>
    </w:lvl>
    <w:lvl w:ilvl="1">
      <w:start w:val="1"/>
      <w:numFmt w:val="bullet"/>
      <w:lvlText w:val="o"/>
      <w:lvlJc w:val="left"/>
      <w:pPr>
        <w:tabs>
          <w:tab w:val="num" w:pos="2715"/>
        </w:tabs>
        <w:ind w:left="2715" w:hanging="360"/>
      </w:pPr>
      <w:rPr>
        <w:rFonts w:ascii="Courier New" w:hAnsi="Courier New" w:cs="Courier New" w:hint="default"/>
      </w:rPr>
    </w:lvl>
    <w:lvl w:ilvl="2">
      <w:start w:val="1"/>
      <w:numFmt w:val="bullet"/>
      <w:lvlText w:val=""/>
      <w:lvlJc w:val="left"/>
      <w:pPr>
        <w:tabs>
          <w:tab w:val="num" w:pos="3435"/>
        </w:tabs>
        <w:ind w:left="3435" w:hanging="360"/>
      </w:pPr>
      <w:rPr>
        <w:rFonts w:ascii="Wingdings" w:hAnsi="Wingdings" w:cs="Wingdings" w:hint="default"/>
      </w:rPr>
    </w:lvl>
    <w:lvl w:ilvl="3">
      <w:start w:val="1"/>
      <w:numFmt w:val="bullet"/>
      <w:lvlText w:val=""/>
      <w:lvlJc w:val="left"/>
      <w:pPr>
        <w:tabs>
          <w:tab w:val="num" w:pos="4155"/>
        </w:tabs>
        <w:ind w:left="4155" w:hanging="360"/>
      </w:pPr>
      <w:rPr>
        <w:rFonts w:ascii="Symbol" w:hAnsi="Symbol" w:cs="Symbol" w:hint="default"/>
      </w:rPr>
    </w:lvl>
    <w:lvl w:ilvl="4">
      <w:start w:val="1"/>
      <w:numFmt w:val="bullet"/>
      <w:lvlText w:val="o"/>
      <w:lvlJc w:val="left"/>
      <w:pPr>
        <w:tabs>
          <w:tab w:val="num" w:pos="4875"/>
        </w:tabs>
        <w:ind w:left="4875" w:hanging="360"/>
      </w:pPr>
      <w:rPr>
        <w:rFonts w:ascii="Courier New" w:hAnsi="Courier New" w:cs="Courier New" w:hint="default"/>
      </w:rPr>
    </w:lvl>
    <w:lvl w:ilvl="5">
      <w:start w:val="1"/>
      <w:numFmt w:val="bullet"/>
      <w:lvlText w:val=""/>
      <w:lvlJc w:val="left"/>
      <w:pPr>
        <w:tabs>
          <w:tab w:val="num" w:pos="5595"/>
        </w:tabs>
        <w:ind w:left="5595" w:hanging="360"/>
      </w:pPr>
      <w:rPr>
        <w:rFonts w:ascii="Wingdings" w:hAnsi="Wingdings" w:cs="Wingdings" w:hint="default"/>
      </w:rPr>
    </w:lvl>
    <w:lvl w:ilvl="6">
      <w:start w:val="1"/>
      <w:numFmt w:val="bullet"/>
      <w:lvlText w:val=""/>
      <w:lvlJc w:val="left"/>
      <w:pPr>
        <w:tabs>
          <w:tab w:val="num" w:pos="6315"/>
        </w:tabs>
        <w:ind w:left="6315" w:hanging="360"/>
      </w:pPr>
      <w:rPr>
        <w:rFonts w:ascii="Symbol" w:hAnsi="Symbol" w:cs="Symbol" w:hint="default"/>
      </w:rPr>
    </w:lvl>
    <w:lvl w:ilvl="7">
      <w:start w:val="1"/>
      <w:numFmt w:val="bullet"/>
      <w:lvlText w:val="o"/>
      <w:lvlJc w:val="left"/>
      <w:pPr>
        <w:tabs>
          <w:tab w:val="num" w:pos="7035"/>
        </w:tabs>
        <w:ind w:left="7035" w:hanging="360"/>
      </w:pPr>
      <w:rPr>
        <w:rFonts w:ascii="Courier New" w:hAnsi="Courier New" w:cs="Courier New" w:hint="default"/>
      </w:rPr>
    </w:lvl>
    <w:lvl w:ilvl="8">
      <w:start w:val="1"/>
      <w:numFmt w:val="bullet"/>
      <w:lvlText w:val=""/>
      <w:lvlJc w:val="left"/>
      <w:pPr>
        <w:tabs>
          <w:tab w:val="num" w:pos="7755"/>
        </w:tabs>
        <w:ind w:left="7755" w:hanging="360"/>
      </w:pPr>
      <w:rPr>
        <w:rFonts w:ascii="Wingdings" w:hAnsi="Wingdings" w:cs="Wingdings" w:hint="default"/>
      </w:rPr>
    </w:lvl>
  </w:abstractNum>
  <w:abstractNum w:abstractNumId="2">
    <w:lvl w:ilvl="0">
      <w:start w:val="1"/>
      <w:numFmt w:val="bullet"/>
      <w:lvlText w:val=""/>
      <w:lvlJc w:val="left"/>
      <w:pPr>
        <w:tabs>
          <w:tab w:val="num" w:pos="1416"/>
        </w:tabs>
        <w:ind w:left="1416" w:hanging="0"/>
      </w:pPr>
      <w:rPr>
        <w:rFonts w:ascii="Wingdings" w:hAnsi="Wingdings" w:cs="Wingdings" w:hint="default"/>
        <w:color w:val="4C4C4C"/>
      </w:rPr>
    </w:lvl>
    <w:lvl w:ilvl="1">
      <w:start w:val="1"/>
      <w:numFmt w:val="bullet"/>
      <w:lvlText w:val="o"/>
      <w:lvlJc w:val="left"/>
      <w:pPr>
        <w:tabs>
          <w:tab w:val="num" w:pos="2856"/>
        </w:tabs>
        <w:ind w:left="2856" w:hanging="360"/>
      </w:pPr>
      <w:rPr>
        <w:rFonts w:ascii="Courier New" w:hAnsi="Courier New" w:cs="Courier New" w:hint="default"/>
      </w:rPr>
    </w:lvl>
    <w:lvl w:ilvl="2">
      <w:start w:val="1"/>
      <w:numFmt w:val="bullet"/>
      <w:lvlText w:val=""/>
      <w:lvlJc w:val="left"/>
      <w:pPr>
        <w:tabs>
          <w:tab w:val="num" w:pos="3576"/>
        </w:tabs>
        <w:ind w:left="3576" w:hanging="360"/>
      </w:pPr>
      <w:rPr>
        <w:rFonts w:ascii="Wingdings" w:hAnsi="Wingdings" w:cs="Wingdings" w:hint="default"/>
      </w:rPr>
    </w:lvl>
    <w:lvl w:ilvl="3">
      <w:start w:val="1"/>
      <w:numFmt w:val="bullet"/>
      <w:lvlText w:val=""/>
      <w:lvlJc w:val="left"/>
      <w:pPr>
        <w:tabs>
          <w:tab w:val="num" w:pos="4296"/>
        </w:tabs>
        <w:ind w:left="4296" w:hanging="360"/>
      </w:pPr>
      <w:rPr>
        <w:rFonts w:ascii="Symbol" w:hAnsi="Symbol" w:cs="Symbol" w:hint="default"/>
      </w:rPr>
    </w:lvl>
    <w:lvl w:ilvl="4">
      <w:start w:val="1"/>
      <w:numFmt w:val="bullet"/>
      <w:lvlText w:val="o"/>
      <w:lvlJc w:val="left"/>
      <w:pPr>
        <w:tabs>
          <w:tab w:val="num" w:pos="5016"/>
        </w:tabs>
        <w:ind w:left="5016" w:hanging="360"/>
      </w:pPr>
      <w:rPr>
        <w:rFonts w:ascii="Courier New" w:hAnsi="Courier New" w:cs="Courier New" w:hint="default"/>
      </w:rPr>
    </w:lvl>
    <w:lvl w:ilvl="5">
      <w:start w:val="1"/>
      <w:numFmt w:val="bullet"/>
      <w:lvlText w:val=""/>
      <w:lvlJc w:val="left"/>
      <w:pPr>
        <w:tabs>
          <w:tab w:val="num" w:pos="5736"/>
        </w:tabs>
        <w:ind w:left="5736" w:hanging="360"/>
      </w:pPr>
      <w:rPr>
        <w:rFonts w:ascii="Wingdings" w:hAnsi="Wingdings" w:cs="Wingdings" w:hint="default"/>
      </w:rPr>
    </w:lvl>
    <w:lvl w:ilvl="6">
      <w:start w:val="1"/>
      <w:numFmt w:val="bullet"/>
      <w:lvlText w:val=""/>
      <w:lvlJc w:val="left"/>
      <w:pPr>
        <w:tabs>
          <w:tab w:val="num" w:pos="6456"/>
        </w:tabs>
        <w:ind w:left="6456" w:hanging="360"/>
      </w:pPr>
      <w:rPr>
        <w:rFonts w:ascii="Symbol" w:hAnsi="Symbol" w:cs="Symbol" w:hint="default"/>
      </w:rPr>
    </w:lvl>
    <w:lvl w:ilvl="7">
      <w:start w:val="1"/>
      <w:numFmt w:val="bullet"/>
      <w:lvlText w:val="o"/>
      <w:lvlJc w:val="left"/>
      <w:pPr>
        <w:tabs>
          <w:tab w:val="num" w:pos="7176"/>
        </w:tabs>
        <w:ind w:left="7176" w:hanging="360"/>
      </w:pPr>
      <w:rPr>
        <w:rFonts w:ascii="Courier New" w:hAnsi="Courier New" w:cs="Courier New" w:hint="default"/>
      </w:rPr>
    </w:lvl>
    <w:lvl w:ilvl="8">
      <w:start w:val="1"/>
      <w:numFmt w:val="bullet"/>
      <w:lvlText w:val=""/>
      <w:lvlJc w:val="left"/>
      <w:pPr>
        <w:tabs>
          <w:tab w:val="num" w:pos="7896"/>
        </w:tabs>
        <w:ind w:left="7896" w:hanging="360"/>
      </w:pPr>
      <w:rPr>
        <w:rFonts w:ascii="Wingdings" w:hAnsi="Wingdings" w:cs="Wingdings" w:hint="default"/>
      </w:rPr>
    </w:lvl>
  </w:abstractNum>
  <w:abstractNum w:abstractNumId="3">
    <w:lvl w:ilvl="0">
      <w:start w:val="1"/>
      <w:numFmt w:val="bullet"/>
      <w:lvlText w:val="•"/>
      <w:lvlPicBulletId w:val="0"/>
      <w:lvlJc w:val="left"/>
      <w:pPr>
        <w:tabs>
          <w:tab w:val="num" w:pos="0"/>
        </w:tabs>
        <w:ind w:left="720" w:hanging="360"/>
      </w:pPr>
      <w:rPr>
        <w:rFonts w:ascii="Symbol" w:hAnsi="Symbol" w:cs="Symbol" w:hint="default"/>
      </w:rPr>
    </w:lvl>
    <w:lvl w:ilvl="1">
      <w:start w:val="0"/>
      <w:numFmt w:val="bullet"/>
      <w:lvlText w:val=""/>
      <w:lvlJc w:val="left"/>
      <w:pPr>
        <w:tabs>
          <w:tab w:val="num" w:pos="0"/>
        </w:tabs>
        <w:ind w:left="1778"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6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61a9"/>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fr-FR" w:bidi="ar-SA"/>
    </w:rPr>
  </w:style>
  <w:style w:type="paragraph" w:styleId="Heading1">
    <w:name w:val="Heading 1"/>
    <w:basedOn w:val="Normal"/>
    <w:next w:val="Normal"/>
    <w:qFormat/>
    <w:pPr>
      <w:keepNext w:val="true"/>
      <w:outlineLvl w:val="0"/>
    </w:pPr>
    <w:rPr>
      <w:b/>
      <w:i/>
      <w:szCs w:val="20"/>
    </w:rPr>
  </w:style>
  <w:style w:type="paragraph" w:styleId="Heading3">
    <w:name w:val="Heading 3"/>
    <w:basedOn w:val="Normal"/>
    <w:next w:val="Normal"/>
    <w:qFormat/>
    <w:pPr>
      <w:keepNext w:val="true"/>
      <w:spacing w:lineRule="auto" w:line="276" w:before="0" w:after="200"/>
      <w:outlineLvl w:val="2"/>
    </w:pPr>
    <w:rPr>
      <w:rFonts w:ascii="Calibri" w:hAnsi="Calibri" w:eastAsia="Calibri"/>
      <w:sz w:val="18"/>
      <w:szCs w:val="22"/>
      <w:u w:val="single"/>
      <w:lang w:eastAsia="en-US"/>
    </w:rPr>
  </w:style>
  <w:style w:type="character" w:styleId="DefaultParagraphFont" w:default="1">
    <w:name w:val="Default Paragraph Font"/>
    <w:uiPriority w:val="1"/>
    <w:semiHidden/>
    <w:unhideWhenUsed/>
    <w:qFormat/>
    <w:rPr/>
  </w:style>
  <w:style w:type="character" w:styleId="PageNumber">
    <w:name w:val="Page Number"/>
    <w:basedOn w:val="DefaultParagraphFont"/>
    <w:semiHidden/>
    <w:rPr/>
  </w:style>
  <w:style w:type="character" w:styleId="Hyperlink">
    <w:name w:val="Hyperlink"/>
    <w:uiPriority w:val="99"/>
    <w:rPr>
      <w:color w:val="0000FF"/>
      <w:u w:val="single"/>
    </w:rPr>
  </w:style>
  <w:style w:type="character" w:styleId="CorpsdetexteCar" w:customStyle="1">
    <w:name w:val="Corps de texte Car"/>
    <w:uiPriority w:val="99"/>
    <w:semiHidden/>
    <w:qFormat/>
    <w:rsid w:val="0013740b"/>
    <w:rPr>
      <w:sz w:val="24"/>
      <w:szCs w:val="24"/>
    </w:rPr>
  </w:style>
  <w:style w:type="character" w:styleId="SubtleReference">
    <w:name w:val="Subtle Reference"/>
    <w:uiPriority w:val="31"/>
    <w:qFormat/>
    <w:rsid w:val="009a6fbe"/>
    <w:rPr>
      <w:b/>
      <w:bCs/>
      <w:color w:val="4F81BD"/>
    </w:rPr>
  </w:style>
  <w:style w:type="character" w:styleId="TextedebullesCar" w:customStyle="1">
    <w:name w:val="Texte de bulles Car"/>
    <w:link w:val="BalloonText"/>
    <w:uiPriority w:val="99"/>
    <w:semiHidden/>
    <w:qFormat/>
    <w:rsid w:val="00d8544b"/>
    <w:rPr>
      <w:rFonts w:ascii="Segoe UI" w:hAnsi="Segoe UI" w:cs="Segoe UI"/>
      <w:sz w:val="18"/>
      <w:szCs w:val="18"/>
    </w:rPr>
  </w:style>
  <w:style w:type="character" w:styleId="UnresolvedMention">
    <w:name w:val="Unresolved Mention"/>
    <w:uiPriority w:val="99"/>
    <w:semiHidden/>
    <w:unhideWhenUsed/>
    <w:qFormat/>
    <w:rsid w:val="00c82f0e"/>
    <w:rPr>
      <w:color w:val="605E5C"/>
      <w:shd w:fill="E1DFDD" w:val="clear"/>
    </w:rPr>
  </w:style>
  <w:style w:type="character" w:styleId="markedcontent" w:customStyle="1">
    <w:name w:val="markedcontent"/>
    <w:basedOn w:val="DefaultParagraphFont"/>
    <w:qFormat/>
    <w:rsid w:val="004108ec"/>
    <w:rPr/>
  </w:style>
  <w:style w:type="character" w:styleId="En-tteCar" w:customStyle="1">
    <w:name w:val="En-tête Car"/>
    <w:uiPriority w:val="99"/>
    <w:qFormat/>
    <w:rsid w:val="00265fea"/>
    <w:rPr>
      <w:sz w:val="24"/>
      <w:szCs w:val="24"/>
    </w:rPr>
  </w:style>
  <w:style w:type="character" w:styleId="PieddepageCar" w:customStyle="1">
    <w:name w:val="Pied de page Car"/>
    <w:uiPriority w:val="99"/>
    <w:qFormat/>
    <w:rsid w:val="00355330"/>
    <w:rPr>
      <w:sz w:val="24"/>
      <w:szCs w:val="24"/>
    </w:rPr>
  </w:style>
  <w:style w:type="character" w:styleId="FollowedHyperlink">
    <w:name w:val="FollowedHyperlink"/>
    <w:uiPriority w:val="99"/>
    <w:semiHidden/>
    <w:unhideWhenUsed/>
    <w:rsid w:val="00ed766e"/>
    <w:rPr>
      <w:color w:val="954F72"/>
      <w:u w:val="single"/>
    </w:rPr>
  </w:style>
  <w:style w:type="character" w:styleId="Emphasis">
    <w:name w:val="Emphasis"/>
    <w:uiPriority w:val="20"/>
    <w:qFormat/>
    <w:rsid w:val="00ef5428"/>
    <w:rPr>
      <w:i/>
      <w:i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uiPriority w:val="99"/>
    <w:semiHidden/>
    <w:unhideWhenUsed/>
    <w:rsid w:val="0013740b"/>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En-tteCar"/>
    <w:uiPriority w:val="99"/>
    <w:pPr>
      <w:tabs>
        <w:tab w:val="clear" w:pos="708"/>
        <w:tab w:val="center" w:pos="4536" w:leader="none"/>
        <w:tab w:val="right" w:pos="9072" w:leader="none"/>
      </w:tabs>
    </w:pPr>
    <w:rPr/>
  </w:style>
  <w:style w:type="paragraph" w:styleId="Footer">
    <w:name w:val="Footer"/>
    <w:basedOn w:val="Normal"/>
    <w:link w:val="PieddepageCar"/>
    <w:uiPriority w:val="99"/>
    <w:pPr>
      <w:tabs>
        <w:tab w:val="clear" w:pos="708"/>
        <w:tab w:val="center" w:pos="4536" w:leader="none"/>
        <w:tab w:val="right" w:pos="9072" w:leader="none"/>
      </w:tabs>
    </w:pPr>
    <w:rPr/>
  </w:style>
  <w:style w:type="paragraph" w:styleId="BodyText21" w:customStyle="1">
    <w:name w:val="Body Text 21"/>
    <w:basedOn w:val="Normal"/>
    <w:qFormat/>
    <w:rsid w:val="00cc5efe"/>
    <w:pPr>
      <w:tabs>
        <w:tab w:val="clear" w:pos="708"/>
        <w:tab w:val="left" w:pos="3119" w:leader="hyphen"/>
      </w:tabs>
      <w:ind w:hanging="113" w:left="113"/>
    </w:pPr>
    <w:rPr>
      <w:rFonts w:ascii="Garamond" w:hAnsi="Garamond" w:cs="Arial"/>
      <w:sz w:val="22"/>
      <w:szCs w:val="22"/>
    </w:rPr>
  </w:style>
  <w:style w:type="paragraph" w:styleId="ListParagraph">
    <w:name w:val="List Paragraph"/>
    <w:basedOn w:val="Normal"/>
    <w:uiPriority w:val="34"/>
    <w:qFormat/>
    <w:rsid w:val="002a44bd"/>
    <w:pPr>
      <w:spacing w:before="0" w:after="0"/>
      <w:ind w:left="720"/>
      <w:contextualSpacing/>
    </w:pPr>
    <w:rPr/>
  </w:style>
  <w:style w:type="paragraph" w:styleId="Default" w:customStyle="1">
    <w:name w:val="Default"/>
    <w:qFormat/>
    <w:rsid w:val="00b34361"/>
    <w:pPr>
      <w:widowControl/>
      <w:suppressAutoHyphens w:val="true"/>
      <w:bidi w:val="0"/>
      <w:spacing w:before="0" w:after="0"/>
      <w:jc w:val="left"/>
    </w:pPr>
    <w:rPr>
      <w:rFonts w:ascii="Lucida Sans Unicode" w:hAnsi="Lucida Sans Unicode" w:eastAsia="Times New Roman" w:cs="Lucida Sans Unicode"/>
      <w:color w:val="000000"/>
      <w:kern w:val="0"/>
      <w:sz w:val="24"/>
      <w:szCs w:val="24"/>
      <w:lang w:val="fr-FR" w:eastAsia="fr-FR" w:bidi="ar-SA"/>
    </w:rPr>
  </w:style>
  <w:style w:type="paragraph" w:styleId="Tche" w:customStyle="1">
    <w:name w:val="Tâche"/>
    <w:basedOn w:val="Normal"/>
    <w:autoRedefine/>
    <w:qFormat/>
    <w:rsid w:val="0013740b"/>
    <w:pPr>
      <w:numPr>
        <w:ilvl w:val="0"/>
        <w:numId w:val="1"/>
      </w:numPr>
      <w:spacing w:before="120" w:after="0"/>
      <w:jc w:val="both"/>
    </w:pPr>
    <w:rPr>
      <w:rFonts w:ascii="Arial" w:hAnsi="Arial" w:cs="Arial"/>
      <w:sz w:val="22"/>
      <w:szCs w:val="22"/>
    </w:rPr>
  </w:style>
  <w:style w:type="paragraph" w:styleId="Sous-tche" w:customStyle="1">
    <w:name w:val="Sous-tâche"/>
    <w:basedOn w:val="Normal"/>
    <w:autoRedefine/>
    <w:qFormat/>
    <w:rsid w:val="0013740b"/>
    <w:pPr>
      <w:widowControl w:val="false"/>
      <w:numPr>
        <w:ilvl w:val="0"/>
        <w:numId w:val="2"/>
      </w:numPr>
      <w:tabs>
        <w:tab w:val="clear" w:pos="708"/>
        <w:tab w:val="right" w:pos="10490" w:leader="none"/>
      </w:tabs>
      <w:spacing w:before="60" w:after="0"/>
      <w:jc w:val="both"/>
    </w:pPr>
    <w:rPr>
      <w:rFonts w:ascii="Arial" w:hAnsi="Arial" w:cs="Arial"/>
      <w:sz w:val="16"/>
      <w:lang w:val="en-GB"/>
    </w:rPr>
  </w:style>
  <w:style w:type="paragraph" w:styleId="INTITULREFPROJET" w:customStyle="1">
    <w:name w:val="INTITULÉ/REF PROJET"/>
    <w:qFormat/>
    <w:rsid w:val="0013740b"/>
    <w:pPr>
      <w:widowControl w:val="false"/>
      <w:tabs>
        <w:tab w:val="clear" w:pos="708"/>
        <w:tab w:val="right" w:pos="10490" w:leader="none"/>
      </w:tabs>
      <w:suppressAutoHyphens w:val="true"/>
      <w:bidi w:val="0"/>
      <w:spacing w:before="0" w:after="0"/>
      <w:jc w:val="both"/>
    </w:pPr>
    <w:rPr>
      <w:rFonts w:ascii="Arial" w:hAnsi="Arial" w:eastAsia="Times New Roman" w:cs="Arial"/>
      <w:b/>
      <w:iCs/>
      <w:color w:val="000000"/>
      <w:kern w:val="0"/>
      <w:sz w:val="16"/>
      <w:szCs w:val="24"/>
      <w:lang w:val="fr-FR" w:eastAsia="fr-FR" w:bidi="ar-SA"/>
    </w:rPr>
  </w:style>
  <w:style w:type="paragraph" w:styleId="Paragraphedeliste2" w:customStyle="1">
    <w:name w:val="Paragraphe de liste 2"/>
    <w:basedOn w:val="ListParagraph"/>
    <w:qFormat/>
    <w:rsid w:val="0013740b"/>
    <w:pPr>
      <w:numPr>
        <w:ilvl w:val="1"/>
        <w:numId w:val="3"/>
      </w:numPr>
    </w:pPr>
    <w:rPr>
      <w:rFonts w:ascii="Arial" w:hAnsi="Arial" w:eastAsia="MS Gothic" w:cs="Arial"/>
      <w:iCs/>
      <w:color w:val="292929"/>
      <w:sz w:val="22"/>
      <w:szCs w:val="22"/>
      <w:lang w:val="fr-BE"/>
    </w:rPr>
  </w:style>
  <w:style w:type="paragraph" w:styleId="BalloonText">
    <w:name w:val="Balloon Text"/>
    <w:basedOn w:val="Normal"/>
    <w:link w:val="TextedebullesCar"/>
    <w:uiPriority w:val="99"/>
    <w:semiHidden/>
    <w:unhideWhenUsed/>
    <w:qFormat/>
    <w:rsid w:val="00d8544b"/>
    <w:pPr/>
    <w:rPr>
      <w:rFonts w:ascii="Segoe UI" w:hAnsi="Segoe UI" w:cs="Segoe UI"/>
      <w:sz w:val="18"/>
      <w:szCs w:val="18"/>
    </w:rPr>
  </w:style>
  <w:style w:type="paragraph" w:styleId="NormalWeb">
    <w:name w:val="Normal (Web)"/>
    <w:basedOn w:val="Normal"/>
    <w:uiPriority w:val="99"/>
    <w:semiHidden/>
    <w:unhideWhenUsed/>
    <w:qFormat/>
    <w:rsid w:val="000f6edb"/>
    <w:pPr>
      <w:spacing w:beforeAutospacing="1" w:afterAutospacing="1"/>
    </w:pPr>
    <w:rPr/>
  </w:style>
  <w:style w:type="paragraph" w:styleId="Contenudecadre">
    <w:name w:val="Contenu de cadre"/>
    <w:basedOn w:val="Normal"/>
    <w:qFormat/>
    <w:pPr/>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Relationships>
</file>

<file path=word/_rels/footer2.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7C9B16D5F44342850AAF6F7A657EE2" ma:contentTypeVersion="13" ma:contentTypeDescription="Crée un document." ma:contentTypeScope="" ma:versionID="3dfd0ed4f7a1ffb00a66e6020b776702">
  <xsd:schema xmlns:xsd="http://www.w3.org/2001/XMLSchema" xmlns:xs="http://www.w3.org/2001/XMLSchema" xmlns:p="http://schemas.microsoft.com/office/2006/metadata/properties" xmlns:ns2="24951bd1-abaf-4ce5-abfd-d427fc0f1947" xmlns:ns3="bdbad5c6-c323-4ecc-a7f0-445736588319" targetNamespace="http://schemas.microsoft.com/office/2006/metadata/properties" ma:root="true" ma:fieldsID="9e2d2818ac17038ee33c8c7108338d1b" ns2:_="" ns3:_="">
    <xsd:import namespace="24951bd1-abaf-4ce5-abfd-d427fc0f1947"/>
    <xsd:import namespace="bdbad5c6-c323-4ecc-a7f0-4457365883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51bd1-abaf-4ce5-abfd-d427fc0f19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bad5c6-c323-4ecc-a7f0-445736588319"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10D3F5-98DD-4C9C-A2EC-99AF8C17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951bd1-abaf-4ce5-abfd-d427fc0f1947"/>
    <ds:schemaRef ds:uri="bdbad5c6-c323-4ecc-a7f0-4457365883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381856-7B3A-419B-AE55-07EF15B4463D}">
  <ds:schemaRefs>
    <ds:schemaRef ds:uri="http://schemas.openxmlformats.org/officeDocument/2006/bibliography"/>
  </ds:schemaRefs>
</ds:datastoreItem>
</file>

<file path=customXml/itemProps3.xml><?xml version="1.0" encoding="utf-8"?>
<ds:datastoreItem xmlns:ds="http://schemas.openxmlformats.org/officeDocument/2006/customXml" ds:itemID="{ACD0E240-7E6B-4E54-A8D6-40E876E019BB}">
  <ds:schemaRefs>
    <ds:schemaRef ds:uri="http://schemas.microsoft.com/sharepoint/v3/contenttype/forms"/>
  </ds:schemaRefs>
</ds:datastoreItem>
</file>

<file path=customXml/itemProps4.xml><?xml version="1.0" encoding="utf-8"?>
<ds:datastoreItem xmlns:ds="http://schemas.openxmlformats.org/officeDocument/2006/customXml" ds:itemID="{0363A018-813C-488E-8021-00AAA46C4A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862</TotalTime>
  <Application>LibreOffice/24.2.7.2$Linux_X86_64 LibreOffice_project/420$Build-2</Application>
  <AppVersion>15.0000</AppVersion>
  <Pages>2</Pages>
  <Words>233</Words>
  <Characters>1118</Characters>
  <CharactersWithSpaces>1299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2024-09-09T14:01:00Z</dcterms:created>
  <dc:creator>AB</dc:creator>
  <dc:description/>
  <dc:language>fr-FR</dc:language>
  <cp:lastModifiedBy/>
  <cp:lastPrinted>2021-06-14T18:36:00Z</cp:lastPrinted>
  <dcterms:modified xsi:type="dcterms:W3CDTF">2025-11-17T15:04:21Z</dcterms:modified>
  <cp:revision>238</cp:revision>
  <dc:subject/>
  <dc:title/>
  <dc:identifier/>
</cp:coreProperties>
</file>

<file path=docProps/custom.xml><?xml version="1.0" encoding="utf-8"?>
<Properties xmlns="http://schemas.openxmlformats.org/officeDocument/2006/custom-properties" xmlns:vt="http://schemas.openxmlformats.org/officeDocument/2006/docPropsVTypes"/>
</file>