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Segoe UI" w:cs="Segoe UI" w:eastAsia="Segoe UI" w:hAnsi="Segoe UI"/>
          <w:b/>
          <w:bCs/>
          <w:color w:val="E2136E"/>
          <w:sz w:val="36"/>
          <w:szCs w:val="36"/>
        </w:rPr>
        <w:t xml:space="preserve">bKash Payment Gateway Integration</w:t>
      </w:r>
    </w:p>
    <w:p>
      <w:pPr>
        <w:spacing w:after="200"/>
        <w:jc w:val="center"/>
      </w:pPr>
      <w:r>
        <w:rPr>
          <w:rFonts w:ascii="Segoe UI" w:cs="Segoe UI" w:eastAsia="Segoe UI" w:hAnsi="Segoe UI"/>
          <w:b/>
          <w:bCs/>
          <w:color w:val="4B5563"/>
          <w:sz w:val="22"/>
          <w:szCs w:val="22"/>
        </w:rPr>
        <w:t xml:space="preserve">Tokenized Payment – Without Agreement (V2) | User Journey Flow &amp; Solution Document</w:t>
      </w:r>
    </w:p>
    <w:p>
      <w:pPr>
        <w:pBdr>
          <w:bottom w:val="single" w:color="E2136E" w:sz="12"/>
        </w:pBdr>
        <w:spacing w:after="400"/>
        <w:jc w:val="center"/>
      </w:pPr>
      <w:r>
        <w:rPr>
          <w:rFonts w:ascii="Segoe UI" w:cs="Segoe UI" w:eastAsia="Segoe UI" w:hAnsi="Segoe UI"/>
          <w:i/>
          <w:iCs/>
          <w:color w:val="6B7280"/>
          <w:sz w:val="18"/>
          <w:szCs w:val="18"/>
        </w:rPr>
        <w:t xml:space="preserve">Merchant: MINAN (minanclothing.com)  |  Target: bKash Integration Team (prabal.mallick@bkash.com)</w:t>
      </w:r>
    </w:p>
    <w:p>
      <w:pPr>
        <w:pStyle w:val="Heading1"/>
        <w:spacing w:after="120" w:before="240"/>
      </w:pPr>
      <w:r>
        <w:rPr>
          <w:rFonts w:ascii="Segoe UI" w:cs="Segoe UI" w:eastAsia="Segoe UI" w:hAnsi="Segoe UI"/>
          <w:b/>
          <w:bCs/>
          <w:color w:val="E2136E"/>
          <w:sz w:val="28"/>
          <w:szCs w:val="28"/>
        </w:rPr>
        <w:t xml:space="preserve">1. Executive Summary &amp; Merchant Profile</w:t>
      </w:r>
    </w:p>
    <w:p>
      <w:pPr>
        <w:spacing w:after="140"/>
      </w:pPr>
      <w:r>
        <w:rPr>
          <w:rFonts w:ascii="Segoe UI" w:cs="Segoe UI" w:eastAsia="Segoe UI" w:hAnsi="Segoe UI"/>
          <w:sz w:val="21"/>
          <w:szCs w:val="21"/>
        </w:rPr>
        <w:t xml:space="preserve">MINAN is a premium contemporary Bangladeshi fashion brand operating an online commerce platform. As part of our checkout modernization, MINAN is integrating bKash Tokenized Checkout (Without Agreement - Version 2) to facilitate instant, frictionless, and secure advance fee payments and full-order payments for customers across Bangladesh.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4"/>
              <w:left w:val="single" w:color="E5E7EB" w:sz="4"/>
              <w:bottom w:val="single" w:color="E5E7EB" w:sz="4"/>
              <w:right w:val="single" w:color="E5E7EB" w:sz="4"/>
            </w:tcBorders>
            <w:shd w:fill="F3F4F6" w:val="clear"/>
            <w:tcMar>
              <w:top w:type="dxa" w:w="120"/>
              <w:left w:type="dxa" w:w="160"/>
              <w:bottom w:type="dxa" w:w="120"/>
              <w:right w:type="dxa" w:w="160"/>
            </w:tcMar>
          </w:tcPr>
          <w:p>
            <w:r>
              <w:rPr>
                <w:rFonts w:ascii="Segoe UI" w:cs="Segoe UI" w:eastAsia="Segoe UI" w:hAnsi="Segoe UI"/>
                <w:b/>
                <w:bCs/>
                <w:sz w:val="20"/>
                <w:szCs w:val="20"/>
              </w:rPr>
              <w:t xml:space="preserve">Merchant Brand</w:t>
            </w:r>
          </w:p>
        </w:tc>
        <w:tc>
          <w:tcPr>
            <w:tcW w:type="dxa" w:w="60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20"/>
                <w:szCs w:val="20"/>
              </w:rPr>
              <w:t xml:space="preserve">MINAN (E-Commerce Clothing Platform)</w:t>
            </w:r>
          </w:p>
        </w:tc>
      </w:tr>
      <w:tr>
        <w:tc>
          <w:tcPr>
            <w:tcW w:type="dxa" w:w="3000"/>
            <w:tcBorders>
              <w:top w:val="single" w:color="E5E7EB" w:sz="4"/>
              <w:left w:val="single" w:color="E5E7EB" w:sz="4"/>
              <w:bottom w:val="single" w:color="E5E7EB" w:sz="4"/>
              <w:right w:val="single" w:color="E5E7EB" w:sz="4"/>
            </w:tcBorders>
            <w:shd w:fill="F3F4F6" w:val="clear"/>
            <w:tcMar>
              <w:top w:type="dxa" w:w="120"/>
              <w:left w:type="dxa" w:w="160"/>
              <w:bottom w:type="dxa" w:w="120"/>
              <w:right w:type="dxa" w:w="160"/>
            </w:tcMar>
          </w:tcPr>
          <w:p>
            <w:r>
              <w:rPr>
                <w:rFonts w:ascii="Segoe UI" w:cs="Segoe UI" w:eastAsia="Segoe UI" w:hAnsi="Segoe UI"/>
                <w:b/>
                <w:bCs/>
                <w:sz w:val="20"/>
                <w:szCs w:val="20"/>
              </w:rPr>
              <w:t xml:space="preserve">Integration Mode</w:t>
            </w:r>
          </w:p>
        </w:tc>
        <w:tc>
          <w:tcPr>
            <w:tcW w:type="dxa" w:w="60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20"/>
                <w:szCs w:val="20"/>
              </w:rPr>
              <w:t xml:space="preserve">Tokenized Payment – Without Agreement (V2)</w:t>
            </w:r>
          </w:p>
        </w:tc>
      </w:tr>
      <w:tr>
        <w:tc>
          <w:tcPr>
            <w:tcW w:type="dxa" w:w="3000"/>
            <w:tcBorders>
              <w:top w:val="single" w:color="E5E7EB" w:sz="4"/>
              <w:left w:val="single" w:color="E5E7EB" w:sz="4"/>
              <w:bottom w:val="single" w:color="E5E7EB" w:sz="4"/>
              <w:right w:val="single" w:color="E5E7EB" w:sz="4"/>
            </w:tcBorders>
            <w:shd w:fill="F3F4F6" w:val="clear"/>
            <w:tcMar>
              <w:top w:type="dxa" w:w="120"/>
              <w:left w:type="dxa" w:w="160"/>
              <w:bottom w:type="dxa" w:w="120"/>
              <w:right w:type="dxa" w:w="160"/>
            </w:tcMar>
          </w:tcPr>
          <w:p>
            <w:r>
              <w:rPr>
                <w:rFonts w:ascii="Segoe UI" w:cs="Segoe UI" w:eastAsia="Segoe UI" w:hAnsi="Segoe UI"/>
                <w:b/>
                <w:bCs/>
                <w:sz w:val="20"/>
                <w:szCs w:val="20"/>
              </w:rPr>
              <w:t xml:space="preserve">bKash Assigned Username</w:t>
            </w:r>
          </w:p>
        </w:tc>
        <w:tc>
          <w:tcPr>
            <w:tcW w:type="dxa" w:w="60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Consolas" w:cs="Consolas" w:eastAsia="Consolas" w:hAnsi="Consolas"/>
                <w:sz w:val="20"/>
                <w:szCs w:val="20"/>
              </w:rPr>
              <w:t xml:space="preserve">01770618567</w:t>
            </w:r>
          </w:p>
        </w:tc>
      </w:tr>
      <w:tr>
        <w:tc>
          <w:tcPr>
            <w:tcW w:type="dxa" w:w="3000"/>
            <w:tcBorders>
              <w:top w:val="single" w:color="E5E7EB" w:sz="4"/>
              <w:left w:val="single" w:color="E5E7EB" w:sz="4"/>
              <w:bottom w:val="single" w:color="E5E7EB" w:sz="4"/>
              <w:right w:val="single" w:color="E5E7EB" w:sz="4"/>
            </w:tcBorders>
            <w:shd w:fill="F3F4F6" w:val="clear"/>
            <w:tcMar>
              <w:top w:type="dxa" w:w="120"/>
              <w:left w:type="dxa" w:w="160"/>
              <w:bottom w:type="dxa" w:w="120"/>
              <w:right w:type="dxa" w:w="160"/>
            </w:tcMar>
          </w:tcPr>
          <w:p>
            <w:r>
              <w:rPr>
                <w:rFonts w:ascii="Segoe UI" w:cs="Segoe UI" w:eastAsia="Segoe UI" w:hAnsi="Segoe UI"/>
                <w:b/>
                <w:bCs/>
                <w:sz w:val="20"/>
                <w:szCs w:val="20"/>
              </w:rPr>
              <w:t xml:space="preserve">Base API URL (Sandbox)</w:t>
            </w:r>
          </w:p>
        </w:tc>
        <w:tc>
          <w:tcPr>
            <w:tcW w:type="dxa" w:w="60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Consolas" w:cs="Consolas" w:eastAsia="Consolas" w:hAnsi="Consolas"/>
                <w:sz w:val="20"/>
                <w:szCs w:val="20"/>
              </w:rPr>
              <w:t xml:space="preserve">https://tokenized.sandbox.bka.sh/v2/</w:t>
            </w:r>
          </w:p>
        </w:tc>
      </w:tr>
      <w:tr>
        <w:tc>
          <w:tcPr>
            <w:tcW w:type="dxa" w:w="3000"/>
            <w:tcBorders>
              <w:top w:val="single" w:color="E5E7EB" w:sz="4"/>
              <w:left w:val="single" w:color="E5E7EB" w:sz="4"/>
              <w:bottom w:val="single" w:color="E5E7EB" w:sz="4"/>
              <w:right w:val="single" w:color="E5E7EB" w:sz="4"/>
            </w:tcBorders>
            <w:shd w:fill="F3F4F6" w:val="clear"/>
            <w:tcMar>
              <w:top w:type="dxa" w:w="120"/>
              <w:left w:type="dxa" w:w="160"/>
              <w:bottom w:type="dxa" w:w="120"/>
              <w:right w:type="dxa" w:w="160"/>
            </w:tcMar>
          </w:tcPr>
          <w:p>
            <w:r>
              <w:rPr>
                <w:rFonts w:ascii="Segoe UI" w:cs="Segoe UI" w:eastAsia="Segoe UI" w:hAnsi="Segoe UI"/>
                <w:b/>
                <w:bCs/>
                <w:sz w:val="20"/>
                <w:szCs w:val="20"/>
              </w:rPr>
              <w:t xml:space="preserve">Technical Lead Contact</w:t>
            </w:r>
          </w:p>
        </w:tc>
        <w:tc>
          <w:tcPr>
            <w:tcW w:type="dxa" w:w="60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20"/>
                <w:szCs w:val="20"/>
              </w:rPr>
              <w:t xml:space="preserve">akibqureshee11@gmail.com</w:t>
            </w:r>
          </w:p>
        </w:tc>
      </w:tr>
    </w:tbl>
    <w:p>
      <w:pPr>
        <w:pStyle w:val="Heading1"/>
        <w:spacing w:after="120" w:before="360"/>
      </w:pPr>
      <w:r>
        <w:rPr>
          <w:rFonts w:ascii="Segoe UI" w:cs="Segoe UI" w:eastAsia="Segoe UI" w:hAnsi="Segoe UI"/>
          <w:b/>
          <w:bCs/>
          <w:color w:val="E2136E"/>
          <w:sz w:val="28"/>
          <w:szCs w:val="28"/>
        </w:rPr>
        <w:t xml:space="preserve">2. End-to-End User Journey Flow</w:t>
      </w:r>
    </w:p>
    <w:p>
      <w:pPr>
        <w:spacing w:after="120"/>
      </w:pPr>
      <w:r>
        <w:rPr>
          <w:rFonts w:ascii="Segoe UI" w:cs="Segoe UI" w:eastAsia="Segoe UI" w:hAnsi="Segoe UI"/>
          <w:sz w:val="21"/>
          <w:szCs w:val="21"/>
        </w:rPr>
        <w:t xml:space="preserve">The payment journey is structured to ensure that sensitive customer credentials (wallet number, PIN, OTP) are exclusively captured inside bKash's PCI-DSS compliant infrastructure, while MINAN securely handles order tracking and verification:</w:t>
      </w:r>
    </w:p>
    <w:p>
      <w:pPr>
        <w:pStyle w:val="ListParagraph"/>
        <w:numPr>
          <w:ilvl w:val="0"/>
          <w:numId w:val="2"/>
        </w:numPr>
        <w:spacing w:after="80"/>
      </w:pPr>
      <w:r>
        <w:rPr>
          <w:rFonts w:ascii="Segoe UI" w:cs="Segoe UI" w:eastAsia="Segoe UI" w:hAnsi="Segoe UI"/>
          <w:b/>
          <w:bCs/>
          <w:sz w:val="20"/>
          <w:szCs w:val="20"/>
        </w:rPr>
        <w:t xml:space="preserve">Step 1 - Checkout Selection: </w:t>
      </w:r>
      <w:r>
        <w:rPr>
          <w:rFonts w:ascii="Segoe UI" w:cs="Segoe UI" w:eastAsia="Segoe UI" w:hAnsi="Segoe UI"/>
          <w:sz w:val="20"/>
          <w:szCs w:val="20"/>
        </w:rPr>
        <w:t xml:space="preserve">The customer reviews their cart on the MINAN storefront (desktop or mobile web), enters delivery address, and selects 'bKash' as the payment method (either Full Payment or Advance Delivery Fee COD).</w:t>
      </w:r>
    </w:p>
    <w:p>
      <w:pPr>
        <w:pStyle w:val="ListParagraph"/>
        <w:numPr>
          <w:ilvl w:val="0"/>
          <w:numId w:val="2"/>
        </w:numPr>
        <w:spacing w:after="80"/>
      </w:pPr>
      <w:r>
        <w:rPr>
          <w:rFonts w:ascii="Segoe UI" w:cs="Segoe UI" w:eastAsia="Segoe UI" w:hAnsi="Segoe UI"/>
          <w:b/>
          <w:bCs/>
          <w:sz w:val="20"/>
          <w:szCs w:val="20"/>
        </w:rPr>
        <w:t xml:space="preserve">Step 2 - Payment Initiation (Server-to-Server): </w:t>
      </w:r>
      <w:r>
        <w:rPr>
          <w:rFonts w:ascii="Segoe UI" w:cs="Segoe UI" w:eastAsia="Segoe UI" w:hAnsi="Segoe UI"/>
          <w:sz w:val="20"/>
          <w:szCs w:val="20"/>
        </w:rPr>
        <w:t xml:space="preserve">When customer clicks 'Pay with bKash', MINAN backend generates/retrieves an active cached Grant Token, calls the bKash V2 Create Payment API (/v2/tokenized-checkout/payment/create) with exact amount, currency (BDT), invoice ID, and secured callback URLs.</w:t>
      </w:r>
    </w:p>
    <w:p>
      <w:pPr>
        <w:pStyle w:val="ListParagraph"/>
        <w:numPr>
          <w:ilvl w:val="0"/>
          <w:numId w:val="2"/>
        </w:numPr>
        <w:spacing w:after="80"/>
      </w:pPr>
      <w:r>
        <w:rPr>
          <w:rFonts w:ascii="Segoe UI" w:cs="Segoe UI" w:eastAsia="Segoe UI" w:hAnsi="Segoe UI"/>
          <w:b/>
          <w:bCs/>
          <w:sz w:val="20"/>
          <w:szCs w:val="20"/>
        </w:rPr>
        <w:t xml:space="preserve">Step 3 - Redirection to bKash Gateway: </w:t>
      </w:r>
      <w:r>
        <w:rPr>
          <w:rFonts w:ascii="Segoe UI" w:cs="Segoe UI" w:eastAsia="Segoe UI" w:hAnsi="Segoe UI"/>
          <w:sz w:val="20"/>
          <w:szCs w:val="20"/>
        </w:rPr>
        <w:t xml:space="preserve">bKash returns a secure bkashURL and paymentId. The customer's browser is redirected directly to the official bKash checkout page.</w:t>
      </w:r>
    </w:p>
    <w:p>
      <w:pPr>
        <w:pStyle w:val="ListParagraph"/>
        <w:numPr>
          <w:ilvl w:val="0"/>
          <w:numId w:val="2"/>
        </w:numPr>
        <w:spacing w:after="80"/>
      </w:pPr>
      <w:r>
        <w:rPr>
          <w:rFonts w:ascii="Segoe UI" w:cs="Segoe UI" w:eastAsia="Segoe UI" w:hAnsi="Segoe UI"/>
          <w:b/>
          <w:bCs/>
          <w:sz w:val="20"/>
          <w:szCs w:val="20"/>
        </w:rPr>
        <w:t xml:space="preserve">Step 4 - Customer Authentication &amp; Authorization on bKash: </w:t>
      </w:r>
      <w:r>
        <w:rPr>
          <w:rFonts w:ascii="Segoe UI" w:cs="Segoe UI" w:eastAsia="Segoe UI" w:hAnsi="Segoe UI"/>
          <w:sz w:val="20"/>
          <w:szCs w:val="20"/>
        </w:rPr>
        <w:t xml:space="preserve">On the bKash interface, the customer: (1) enters their bKash wallet number, (2) enters the 6-digit OTP received via SMS, and (3) enters their 5-digit PIN to confirm authorization.</w:t>
      </w:r>
    </w:p>
    <w:p>
      <w:pPr>
        <w:pStyle w:val="ListParagraph"/>
        <w:numPr>
          <w:ilvl w:val="0"/>
          <w:numId w:val="2"/>
        </w:numPr>
        <w:spacing w:after="80"/>
      </w:pPr>
      <w:r>
        <w:rPr>
          <w:rFonts w:ascii="Segoe UI" w:cs="Segoe UI" w:eastAsia="Segoe UI" w:hAnsi="Segoe UI"/>
          <w:b/>
          <w:bCs/>
          <w:sz w:val="20"/>
          <w:szCs w:val="20"/>
        </w:rPr>
        <w:t xml:space="preserve">Step 5 - Callback Handling &amp; Payment Execution: </w:t>
      </w:r>
      <w:r>
        <w:rPr>
          <w:rFonts w:ascii="Segoe UI" w:cs="Segoe UI" w:eastAsia="Segoe UI" w:hAnsi="Segoe UI"/>
          <w:sz w:val="20"/>
          <w:szCs w:val="20"/>
        </w:rPr>
        <w:t xml:space="preserve">Upon customer authorization, bKash redirects to MINAN's callbackURL with status=success, paymentID, and signature. MINAN backend verifies the signature and immediately calls the Execute Payment API (/v2/tokenized-checkout/payment/execute) to complete the transaction.</w:t>
      </w:r>
    </w:p>
    <w:p>
      <w:pPr>
        <w:pStyle w:val="ListParagraph"/>
        <w:numPr>
          <w:ilvl w:val="0"/>
          <w:numId w:val="2"/>
        </w:numPr>
        <w:spacing w:after="80"/>
      </w:pPr>
      <w:r>
        <w:rPr>
          <w:rFonts w:ascii="Segoe UI" w:cs="Segoe UI" w:eastAsia="Segoe UI" w:hAnsi="Segoe UI"/>
          <w:b/>
          <w:bCs/>
          <w:sz w:val="20"/>
          <w:szCs w:val="20"/>
        </w:rPr>
        <w:t xml:space="preserve">Step 6 - 30-Second Timeout Fallback (Mandatory Query API): </w:t>
      </w:r>
      <w:r>
        <w:rPr>
          <w:rFonts w:ascii="Segoe UI" w:cs="Segoe UI" w:eastAsia="Segoe UI" w:hAnsi="Segoe UI"/>
          <w:sz w:val="20"/>
          <w:szCs w:val="20"/>
        </w:rPr>
        <w:t xml:space="preserve">If the Execute Payment call does not return within 30 seconds or experiences a network disruption, MINAN automatically queries the payment status via Query Payment API (/v2/tokenized-checkout/query/payment) before taking any terminal action.</w:t>
      </w:r>
    </w:p>
    <w:p>
      <w:pPr>
        <w:pStyle w:val="ListParagraph"/>
        <w:numPr>
          <w:ilvl w:val="0"/>
          <w:numId w:val="2"/>
        </w:numPr>
        <w:spacing w:after="140"/>
      </w:pPr>
      <w:r>
        <w:rPr>
          <w:rFonts w:ascii="Segoe UI" w:cs="Segoe UI" w:eastAsia="Segoe UI" w:hAnsi="Segoe UI"/>
          <w:b/>
          <w:bCs/>
          <w:sz w:val="20"/>
          <w:szCs w:val="20"/>
        </w:rPr>
        <w:t xml:space="preserve">Step 7 - Order Confirmation &amp; Instant Feedback: </w:t>
      </w:r>
      <w:r>
        <w:rPr>
          <w:rFonts w:ascii="Segoe UI" w:cs="Segoe UI" w:eastAsia="Segoe UI" w:hAnsi="Segoe UI"/>
          <w:sz w:val="20"/>
          <w:szCs w:val="20"/>
        </w:rPr>
        <w:t xml:space="preserve">Once trxId and Completed status are verified, the order is marked as settled/confirmed in MINAN database, SMS/email confirmation is triggered, and the customer is redirected to the order receipt page.</w:t>
      </w:r>
    </w:p>
    <w:p>
      <w:pPr>
        <w:pStyle w:val="Heading1"/>
        <w:spacing w:after="120" w:before="360"/>
      </w:pPr>
      <w:r>
        <w:rPr>
          <w:rFonts w:ascii="Segoe UI" w:cs="Segoe UI" w:eastAsia="Segoe UI" w:hAnsi="Segoe UI"/>
          <w:b/>
          <w:bCs/>
          <w:color w:val="E2136E"/>
          <w:sz w:val="28"/>
          <w:szCs w:val="28"/>
        </w:rPr>
        <w:t xml:space="preserve">3. API Implementation &amp; Architecture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E5E7EB" w:sz="4"/>
              <w:left w:val="single" w:color="E5E7EB" w:sz="4"/>
              <w:bottom w:val="single" w:color="E5E7EB" w:sz="4"/>
              <w:right w:val="single" w:color="E5E7EB" w:sz="4"/>
            </w:tcBorders>
            <w:shd w:fill="E2136E" w:val="clear"/>
            <w:tcMar>
              <w:top w:type="dxa" w:w="120"/>
              <w:left w:type="dxa" w:w="160"/>
              <w:bottom w:type="dxa" w:w="120"/>
              <w:right w:type="dxa" w:w="160"/>
            </w:tcMar>
          </w:tcPr>
          <w:p>
            <w:r>
              <w:rPr>
                <w:rFonts w:ascii="Segoe UI" w:cs="Segoe UI" w:eastAsia="Segoe UI" w:hAnsi="Segoe UI"/>
                <w:b/>
                <w:bCs/>
                <w:color w:val="FFFFFF"/>
                <w:sz w:val="20"/>
                <w:szCs w:val="20"/>
              </w:rPr>
              <w:t xml:space="preserve">API Name</w:t>
            </w:r>
          </w:p>
        </w:tc>
        <w:tc>
          <w:tcPr>
            <w:tcW w:type="dxa" w:w="3600"/>
            <w:tcBorders>
              <w:top w:val="single" w:color="E5E7EB" w:sz="4"/>
              <w:left w:val="single" w:color="E5E7EB" w:sz="4"/>
              <w:bottom w:val="single" w:color="E5E7EB" w:sz="4"/>
              <w:right w:val="single" w:color="E5E7EB" w:sz="4"/>
            </w:tcBorders>
            <w:shd w:fill="E2136E" w:val="clear"/>
            <w:tcMar>
              <w:top w:type="dxa" w:w="120"/>
              <w:left w:type="dxa" w:w="160"/>
              <w:bottom w:type="dxa" w:w="120"/>
              <w:right w:type="dxa" w:w="160"/>
            </w:tcMar>
          </w:tcPr>
          <w:p>
            <w:r>
              <w:rPr>
                <w:rFonts w:ascii="Segoe UI" w:cs="Segoe UI" w:eastAsia="Segoe UI" w:hAnsi="Segoe UI"/>
                <w:b/>
                <w:bCs/>
                <w:color w:val="FFFFFF"/>
                <w:sz w:val="20"/>
                <w:szCs w:val="20"/>
              </w:rPr>
              <w:t xml:space="preserve">V2 Endpoint Path</w:t>
            </w:r>
          </w:p>
        </w:tc>
        <w:tc>
          <w:tcPr>
            <w:tcW w:type="dxa" w:w="3226"/>
            <w:tcBorders>
              <w:top w:val="single" w:color="E5E7EB" w:sz="4"/>
              <w:left w:val="single" w:color="E5E7EB" w:sz="4"/>
              <w:bottom w:val="single" w:color="E5E7EB" w:sz="4"/>
              <w:right w:val="single" w:color="E5E7EB" w:sz="4"/>
            </w:tcBorders>
            <w:shd w:fill="E2136E" w:val="clear"/>
            <w:tcMar>
              <w:top w:type="dxa" w:w="120"/>
              <w:left w:type="dxa" w:w="160"/>
              <w:bottom w:type="dxa" w:w="120"/>
              <w:right w:type="dxa" w:w="160"/>
            </w:tcMar>
          </w:tcPr>
          <w:p>
            <w:r>
              <w:rPr>
                <w:rFonts w:ascii="Segoe UI" w:cs="Segoe UI" w:eastAsia="Segoe UI" w:hAnsi="Segoe UI"/>
                <w:b/>
                <w:bCs/>
                <w:color w:val="FFFFFF"/>
                <w:sz w:val="20"/>
                <w:szCs w:val="20"/>
              </w:rPr>
              <w:t xml:space="preserve">Role &amp; Rules</w:t>
            </w:r>
          </w:p>
        </w:tc>
      </w:tr>
      <w:tr>
        <w:tc>
          <w:tcPr>
            <w:tcW w:type="dxa" w:w="2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sz w:val="19"/>
                <w:szCs w:val="19"/>
              </w:rPr>
              <w:t xml:space="preserve">Grant Token</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Consolas" w:cs="Consolas" w:eastAsia="Consolas" w:hAnsi="Consolas"/>
                <w:sz w:val="18"/>
                <w:szCs w:val="18"/>
              </w:rPr>
              <w:t xml:space="preserve">/tokenized-checkout/auth/grant-token</w:t>
            </w:r>
          </w:p>
        </w:tc>
        <w:tc>
          <w:tcPr>
            <w:tcW w:type="dxa" w:w="32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8"/>
                <w:szCs w:val="18"/>
              </w:rPr>
              <w:t xml:space="preserve">Cached for 3600s in MongoDB &amp; memory. Max 2 calls/hr strictly enforced.</w:t>
            </w:r>
          </w:p>
        </w:tc>
      </w:tr>
      <w:tr>
        <w:tc>
          <w:tcPr>
            <w:tcW w:type="dxa" w:w="2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sz w:val="19"/>
                <w:szCs w:val="19"/>
              </w:rPr>
              <w:t xml:space="preserve">Refresh Token</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Consolas" w:cs="Consolas" w:eastAsia="Consolas" w:hAnsi="Consolas"/>
                <w:sz w:val="18"/>
                <w:szCs w:val="18"/>
              </w:rPr>
              <w:t xml:space="preserve">/tokenized-checkout/auth/refresh-token</w:t>
            </w:r>
          </w:p>
        </w:tc>
        <w:tc>
          <w:tcPr>
            <w:tcW w:type="dxa" w:w="32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8"/>
                <w:szCs w:val="18"/>
              </w:rPr>
              <w:t xml:space="preserve">Rotates id_token at 50-55 mins using 30-day refresh_token.</w:t>
            </w:r>
          </w:p>
        </w:tc>
      </w:tr>
      <w:tr>
        <w:tc>
          <w:tcPr>
            <w:tcW w:type="dxa" w:w="2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sz w:val="19"/>
                <w:szCs w:val="19"/>
              </w:rPr>
              <w:t xml:space="preserve">Create Payment</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Consolas" w:cs="Consolas" w:eastAsia="Consolas" w:hAnsi="Consolas"/>
                <w:sz w:val="18"/>
                <w:szCs w:val="18"/>
              </w:rPr>
              <w:t xml:space="preserve">/tokenized-checkout/payment/create</w:t>
            </w:r>
          </w:p>
        </w:tc>
        <w:tc>
          <w:tcPr>
            <w:tcW w:type="dxa" w:w="32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8"/>
                <w:szCs w:val="18"/>
              </w:rPr>
              <w:t xml:space="preserve">Initializes payment, binds merchantInvoiceNumber &amp; obtains bkashURL.</w:t>
            </w:r>
          </w:p>
        </w:tc>
      </w:tr>
      <w:tr>
        <w:tc>
          <w:tcPr>
            <w:tcW w:type="dxa" w:w="2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sz w:val="19"/>
                <w:szCs w:val="19"/>
              </w:rPr>
              <w:t xml:space="preserve">Execute Payment</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Consolas" w:cs="Consolas" w:eastAsia="Consolas" w:hAnsi="Consolas"/>
                <w:sz w:val="18"/>
                <w:szCs w:val="18"/>
              </w:rPr>
              <w:t xml:space="preserve">/tokenized-checkout/payment/execute</w:t>
            </w:r>
          </w:p>
        </w:tc>
        <w:tc>
          <w:tcPr>
            <w:tcW w:type="dxa" w:w="32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8"/>
                <w:szCs w:val="18"/>
              </w:rPr>
              <w:t xml:space="preserve">Finalizes transaction with paymentId. 30s timeout configured.</w:t>
            </w:r>
          </w:p>
        </w:tc>
      </w:tr>
      <w:tr>
        <w:tc>
          <w:tcPr>
            <w:tcW w:type="dxa" w:w="2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sz w:val="19"/>
                <w:szCs w:val="19"/>
              </w:rPr>
              <w:t xml:space="preserve">Query Payment (Mandatory)</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Consolas" w:cs="Consolas" w:eastAsia="Consolas" w:hAnsi="Consolas"/>
                <w:sz w:val="18"/>
                <w:szCs w:val="18"/>
              </w:rPr>
              <w:t xml:space="preserve">/tokenized-checkout/query/payment</w:t>
            </w:r>
          </w:p>
        </w:tc>
        <w:tc>
          <w:tcPr>
            <w:tcW w:type="dxa" w:w="32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8"/>
                <w:szCs w:val="18"/>
              </w:rPr>
              <w:t xml:space="preserve">Mandatory timeout &amp; discrepancy fallback. Prevents duplicate charges.</w:t>
            </w:r>
          </w:p>
        </w:tc>
      </w:tr>
      <w:tr>
        <w:tc>
          <w:tcPr>
            <w:tcW w:type="dxa" w:w="2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sz w:val="19"/>
                <w:szCs w:val="19"/>
              </w:rPr>
              <w:t xml:space="preserve">Search Transaction</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Consolas" w:cs="Consolas" w:eastAsia="Consolas" w:hAnsi="Consolas"/>
                <w:sz w:val="18"/>
                <w:szCs w:val="18"/>
              </w:rPr>
              <w:t xml:space="preserve">/tokenized-checkout/general/search-transaction</w:t>
            </w:r>
          </w:p>
        </w:tc>
        <w:tc>
          <w:tcPr>
            <w:tcW w:type="dxa" w:w="32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8"/>
                <w:szCs w:val="18"/>
              </w:rPr>
              <w:t xml:space="preserve">Queries completed trxId for customer service &amp; reconciliation.</w:t>
            </w:r>
          </w:p>
        </w:tc>
      </w:tr>
      <w:tr>
        <w:tc>
          <w:tcPr>
            <w:tcW w:type="dxa" w:w="2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sz w:val="19"/>
                <w:szCs w:val="19"/>
              </w:rPr>
              <w:t xml:space="preserve">Refund</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Consolas" w:cs="Consolas" w:eastAsia="Consolas" w:hAnsi="Consolas"/>
                <w:sz w:val="18"/>
                <w:szCs w:val="18"/>
              </w:rPr>
              <w:t xml:space="preserve">/tokenized-checkout/refund/payment/transaction</w:t>
            </w:r>
          </w:p>
        </w:tc>
        <w:tc>
          <w:tcPr>
            <w:tcW w:type="dxa" w:w="32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8"/>
                <w:szCs w:val="18"/>
              </w:rPr>
              <w:t xml:space="preserve">Partial/full refunds within 60 days (up to 10 partial refunds).</w:t>
            </w:r>
          </w:p>
        </w:tc>
      </w:tr>
      <w:tr>
        <w:tc>
          <w:tcPr>
            <w:tcW w:type="dxa" w:w="2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sz w:val="19"/>
                <w:szCs w:val="19"/>
              </w:rPr>
              <w:t xml:space="preserve">Refund Status (Mandatory)</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Consolas" w:cs="Consolas" w:eastAsia="Consolas" w:hAnsi="Consolas"/>
                <w:sz w:val="18"/>
                <w:szCs w:val="18"/>
              </w:rPr>
              <w:t xml:space="preserve">/tokenized-checkout/refund/payment/status</w:t>
            </w:r>
          </w:p>
        </w:tc>
        <w:tc>
          <w:tcPr>
            <w:tcW w:type="dxa" w:w="32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8"/>
                <w:szCs w:val="18"/>
              </w:rPr>
              <w:t xml:space="preserve">Mandatory check if refund call times out within 30s.</w:t>
            </w:r>
          </w:p>
        </w:tc>
      </w:tr>
    </w:tbl>
    <w:p>
      <w:pPr>
        <w:pStyle w:val="Heading1"/>
        <w:spacing w:after="120" w:before="360"/>
      </w:pPr>
      <w:r>
        <w:rPr>
          <w:rFonts w:ascii="Segoe UI" w:cs="Segoe UI" w:eastAsia="Segoe UI" w:hAnsi="Segoe UI"/>
          <w:b/>
          <w:bCs/>
          <w:color w:val="E2136E"/>
          <w:sz w:val="28"/>
          <w:szCs w:val="28"/>
        </w:rPr>
        <w:t xml:space="preserve">4. Integration Milestones Progress (S-1 through S-7)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c>
          <w:tcPr>
            <w:tcW w:type="dxa" w:w="1400"/>
            <w:tcBorders>
              <w:top w:val="single" w:color="E5E7EB" w:sz="4"/>
              <w:left w:val="single" w:color="E5E7EB" w:sz="4"/>
              <w:bottom w:val="single" w:color="E5E7EB" w:sz="4"/>
              <w:right w:val="single" w:color="E5E7EB" w:sz="4"/>
            </w:tcBorders>
            <w:shd w:fill="F3F4F6" w:val="clear"/>
            <w:tcMar>
              <w:top w:type="dxa" w:w="120"/>
              <w:left w:type="dxa" w:w="160"/>
              <w:bottom w:type="dxa" w:w="120"/>
              <w:right w:type="dxa" w:w="160"/>
            </w:tcMar>
          </w:tcPr>
          <w:p>
            <w:r>
              <w:rPr>
                <w:rFonts w:ascii="Segoe UI" w:cs="Segoe UI" w:eastAsia="Segoe UI" w:hAnsi="Segoe UI"/>
                <w:b/>
                <w:bCs/>
                <w:sz w:val="20"/>
                <w:szCs w:val="20"/>
              </w:rPr>
              <w:t xml:space="preserve">Stage</w:t>
            </w:r>
          </w:p>
        </w:tc>
        <w:tc>
          <w:tcPr>
            <w:tcW w:type="dxa" w:w="3200"/>
            <w:tcBorders>
              <w:top w:val="single" w:color="E5E7EB" w:sz="4"/>
              <w:left w:val="single" w:color="E5E7EB" w:sz="4"/>
              <w:bottom w:val="single" w:color="E5E7EB" w:sz="4"/>
              <w:right w:val="single" w:color="E5E7EB" w:sz="4"/>
            </w:tcBorders>
            <w:shd w:fill="F3F4F6" w:val="clear"/>
            <w:tcMar>
              <w:top w:type="dxa" w:w="120"/>
              <w:left w:type="dxa" w:w="160"/>
              <w:bottom w:type="dxa" w:w="120"/>
              <w:right w:type="dxa" w:w="160"/>
            </w:tcMar>
          </w:tcPr>
          <w:p>
            <w:r>
              <w:rPr>
                <w:rFonts w:ascii="Segoe UI" w:cs="Segoe UI" w:eastAsia="Segoe UI" w:hAnsi="Segoe UI"/>
                <w:b/>
                <w:bCs/>
                <w:sz w:val="20"/>
                <w:szCs w:val="20"/>
              </w:rPr>
              <w:t xml:space="preserve">Milestone Name</w:t>
            </w:r>
          </w:p>
        </w:tc>
        <w:tc>
          <w:tcPr>
            <w:tcW w:type="dxa" w:w="4426"/>
            <w:tcBorders>
              <w:top w:val="single" w:color="E5E7EB" w:sz="4"/>
              <w:left w:val="single" w:color="E5E7EB" w:sz="4"/>
              <w:bottom w:val="single" w:color="E5E7EB" w:sz="4"/>
              <w:right w:val="single" w:color="E5E7EB" w:sz="4"/>
            </w:tcBorders>
            <w:shd w:fill="F3F4F6" w:val="clear"/>
            <w:tcMar>
              <w:top w:type="dxa" w:w="120"/>
              <w:left w:type="dxa" w:w="160"/>
              <w:bottom w:type="dxa" w:w="120"/>
              <w:right w:type="dxa" w:w="160"/>
            </w:tcMar>
          </w:tcPr>
          <w:p>
            <w:r>
              <w:rPr>
                <w:rFonts w:ascii="Segoe UI" w:cs="Segoe UI" w:eastAsia="Segoe UI" w:hAnsi="Segoe UI"/>
                <w:b/>
                <w:bCs/>
                <w:sz w:val="20"/>
                <w:szCs w:val="20"/>
              </w:rPr>
              <w:t xml:space="preserve">Current Status &amp; Notes</w:t>
            </w:r>
          </w:p>
        </w:tc>
      </w:tr>
      <w:tr>
        <w:tc>
          <w:tcPr>
            <w:tcW w:type="dxa" w:w="14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color w:val="E2136E"/>
                <w:sz w:val="19"/>
                <w:szCs w:val="19"/>
              </w:rPr>
              <w:t xml:space="preserve">S-1</w:t>
            </w:r>
          </w:p>
        </w:tc>
        <w:tc>
          <w:tcPr>
            <w:tcW w:type="dxa" w:w="3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Integration Initiation</w:t>
            </w:r>
          </w:p>
        </w:tc>
        <w:tc>
          <w:tcPr>
            <w:tcW w:type="dxa" w:w="44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COMPLETED. bKash delivered portal, guidelines &amp; sandbox credentials.</w:t>
            </w:r>
          </w:p>
        </w:tc>
      </w:tr>
      <w:tr>
        <w:tc>
          <w:tcPr>
            <w:tcW w:type="dxa" w:w="14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color w:val="E2136E"/>
                <w:sz w:val="19"/>
                <w:szCs w:val="19"/>
              </w:rPr>
              <w:t xml:space="preserve">S-2</w:t>
            </w:r>
          </w:p>
        </w:tc>
        <w:tc>
          <w:tcPr>
            <w:tcW w:type="dxa" w:w="3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Sandbox Integration</w:t>
            </w:r>
          </w:p>
        </w:tc>
        <w:tc>
          <w:tcPr>
            <w:tcW w:type="dxa" w:w="44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IN PROGRESS (This Submission). User Journey &amp; Solution doc shared with bKash.</w:t>
            </w:r>
          </w:p>
        </w:tc>
      </w:tr>
      <w:tr>
        <w:tc>
          <w:tcPr>
            <w:tcW w:type="dxa" w:w="14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color w:val="E2136E"/>
                <w:sz w:val="19"/>
                <w:szCs w:val="19"/>
              </w:rPr>
              <w:t xml:space="preserve">S-3</w:t>
            </w:r>
          </w:p>
        </w:tc>
        <w:tc>
          <w:tcPr>
            <w:tcW w:type="dxa" w:w="3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Sandbox Validation</w:t>
            </w:r>
          </w:p>
        </w:tc>
        <w:tc>
          <w:tcPr>
            <w:tcW w:type="dxa" w:w="44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READY. Test transactions executed; logs ready to be shared with bKash engineer.</w:t>
            </w:r>
          </w:p>
        </w:tc>
      </w:tr>
      <w:tr>
        <w:tc>
          <w:tcPr>
            <w:tcW w:type="dxa" w:w="14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color w:val="E2136E"/>
                <w:sz w:val="19"/>
                <w:szCs w:val="19"/>
              </w:rPr>
              <w:t xml:space="preserve">S-4</w:t>
            </w:r>
          </w:p>
        </w:tc>
        <w:tc>
          <w:tcPr>
            <w:tcW w:type="dxa" w:w="3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Production Info Collection</w:t>
            </w:r>
          </w:p>
        </w:tc>
        <w:tc>
          <w:tcPr>
            <w:tcW w:type="dxa" w:w="44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PENDING. Sharing production MSISDN &amp; brand display name.</w:t>
            </w:r>
          </w:p>
        </w:tc>
      </w:tr>
      <w:tr>
        <w:tc>
          <w:tcPr>
            <w:tcW w:type="dxa" w:w="14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color w:val="E2136E"/>
                <w:sz w:val="19"/>
                <w:szCs w:val="19"/>
              </w:rPr>
              <w:t xml:space="preserve">S-5</w:t>
            </w:r>
          </w:p>
        </w:tc>
        <w:tc>
          <w:tcPr>
            <w:tcW w:type="dxa" w:w="3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Production Onboarding</w:t>
            </w:r>
          </w:p>
        </w:tc>
        <w:tc>
          <w:tcPr>
            <w:tcW w:type="dxa" w:w="44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PENDING. bKash provisioning merchant on live cluster (1-2 days).</w:t>
            </w:r>
          </w:p>
        </w:tc>
      </w:tr>
      <w:tr>
        <w:tc>
          <w:tcPr>
            <w:tcW w:type="dxa" w:w="14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color w:val="E2136E"/>
                <w:sz w:val="19"/>
                <w:szCs w:val="19"/>
              </w:rPr>
              <w:t xml:space="preserve">S-6</w:t>
            </w:r>
          </w:p>
        </w:tc>
        <w:tc>
          <w:tcPr>
            <w:tcW w:type="dxa" w:w="3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Production Readiness</w:t>
            </w:r>
          </w:p>
        </w:tc>
        <w:tc>
          <w:tcPr>
            <w:tcW w:type="dxa" w:w="44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PENDING. Verify live credentials against live endpoints.</w:t>
            </w:r>
          </w:p>
        </w:tc>
      </w:tr>
      <w:tr>
        <w:tc>
          <w:tcPr>
            <w:tcW w:type="dxa" w:w="14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b/>
                <w:bCs/>
                <w:color w:val="E2136E"/>
                <w:sz w:val="19"/>
                <w:szCs w:val="19"/>
              </w:rPr>
              <w:t xml:space="preserve">S-7</w:t>
            </w:r>
          </w:p>
        </w:tc>
        <w:tc>
          <w:tcPr>
            <w:tcW w:type="dxa" w:w="3200"/>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UAT &amp; Go-Live</w:t>
            </w:r>
          </w:p>
        </w:tc>
        <w:tc>
          <w:tcPr>
            <w:tcW w:type="dxa" w:w="4426"/>
            <w:tcBorders>
              <w:top w:val="single" w:color="E5E7EB" w:sz="4"/>
              <w:left w:val="single" w:color="E5E7EB" w:sz="4"/>
              <w:bottom w:val="single" w:color="E5E7EB" w:sz="4"/>
              <w:right w:val="single" w:color="E5E7EB" w:sz="4"/>
            </w:tcBorders>
            <w:tcMar>
              <w:top w:type="dxa" w:w="120"/>
              <w:left w:type="dxa" w:w="160"/>
              <w:bottom w:type="dxa" w:w="120"/>
              <w:right w:type="dxa" w:w="160"/>
            </w:tcMar>
          </w:tcPr>
          <w:p>
            <w:r>
              <w:rPr>
                <w:rFonts w:ascii="Segoe UI" w:cs="Segoe UI" w:eastAsia="Segoe UI" w:hAnsi="Segoe UI"/>
                <w:sz w:val="19"/>
                <w:szCs w:val="19"/>
              </w:rPr>
              <w:t xml:space="preserve">FINAL. Real wallet live transaction verification &amp; public enablement.</w:t>
            </w:r>
          </w:p>
        </w:tc>
      </w:tr>
    </w:tbl>
    <w:p>
      <w:pPr>
        <w:pStyle w:val="Heading1"/>
        <w:spacing w:after="120" w:before="360"/>
      </w:pPr>
      <w:r>
        <w:rPr>
          <w:rFonts w:ascii="Segoe UI" w:cs="Segoe UI" w:eastAsia="Segoe UI" w:hAnsi="Segoe UI"/>
          <w:b/>
          <w:bCs/>
          <w:color w:val="E2136E"/>
          <w:sz w:val="28"/>
          <w:szCs w:val="28"/>
        </w:rPr>
        <w:t xml:space="preserve">5. Security, Infrastructure &amp; Compliance</w:t>
      </w:r>
    </w:p>
    <w:p>
      <w:pPr>
        <w:pStyle w:val="ListParagraph"/>
        <w:numPr>
          <w:ilvl w:val="0"/>
          <w:numId w:val="3"/>
        </w:numPr>
        <w:spacing w:after="80"/>
      </w:pPr>
      <w:r>
        <w:rPr>
          <w:rFonts w:ascii="Segoe UI" w:cs="Segoe UI" w:eastAsia="Segoe UI" w:hAnsi="Segoe UI"/>
          <w:b/>
          <w:bCs/>
          <w:sz w:val="20"/>
          <w:szCs w:val="20"/>
        </w:rPr>
        <w:t xml:space="preserve">Transport Security: </w:t>
      </w:r>
      <w:r>
        <w:rPr>
          <w:rFonts w:ascii="Segoe UI" w:cs="Segoe UI" w:eastAsia="Segoe UI" w:hAnsi="Segoe UI"/>
          <w:sz w:val="20"/>
          <w:szCs w:val="20"/>
        </w:rPr>
        <w:t xml:space="preserve">MINAN production server is provisioned with valid SSL certificate, enforcing TLS 1.2 and TLS 1.3 only, matching bKash security compliance.</w:t>
      </w:r>
    </w:p>
    <w:p>
      <w:pPr>
        <w:pStyle w:val="ListParagraph"/>
        <w:numPr>
          <w:ilvl w:val="0"/>
          <w:numId w:val="3"/>
        </w:numPr>
        <w:spacing w:after="80"/>
      </w:pPr>
      <w:r>
        <w:rPr>
          <w:rFonts w:ascii="Segoe UI" w:cs="Segoe UI" w:eastAsia="Segoe UI" w:hAnsi="Segoe UI"/>
          <w:b/>
          <w:bCs/>
          <w:sz w:val="20"/>
          <w:szCs w:val="20"/>
        </w:rPr>
        <w:t xml:space="preserve">Credentials &amp; Key Storage: </w:t>
      </w:r>
      <w:r>
        <w:rPr>
          <w:rFonts w:ascii="Segoe UI" w:cs="Segoe UI" w:eastAsia="Segoe UI" w:hAnsi="Segoe UI"/>
          <w:sz w:val="20"/>
          <w:szCs w:val="20"/>
        </w:rPr>
        <w:t xml:space="preserve">app_secret, password, and refresh_token are kept strictly in backend environment variables and encrypted server models. None are exposed to client-side browsers.</w:t>
      </w:r>
    </w:p>
    <w:p>
      <w:pPr>
        <w:pStyle w:val="ListParagraph"/>
        <w:numPr>
          <w:ilvl w:val="0"/>
          <w:numId w:val="3"/>
        </w:numPr>
        <w:spacing w:after="80"/>
      </w:pPr>
      <w:r>
        <w:rPr>
          <w:rFonts w:ascii="Segoe UI" w:cs="Segoe UI" w:eastAsia="Segoe UI" w:hAnsi="Segoe UI"/>
          <w:b/>
          <w:bCs/>
          <w:sz w:val="20"/>
          <w:szCs w:val="20"/>
        </w:rPr>
        <w:t xml:space="preserve">Signature Verification: </w:t>
      </w:r>
      <w:r>
        <w:rPr>
          <w:rFonts w:ascii="Segoe UI" w:cs="Segoe UI" w:eastAsia="Segoe UI" w:hAnsi="Segoe UI"/>
          <w:sz w:val="20"/>
          <w:szCs w:val="20"/>
        </w:rPr>
        <w:t xml:space="preserve">bKash callback signatures are verified using timingSafeEqual to avoid timing attack vectors.</w:t>
      </w:r>
    </w:p>
    <w:p>
      <w:pPr>
        <w:pStyle w:val="ListParagraph"/>
        <w:numPr>
          <w:ilvl w:val="0"/>
          <w:numId w:val="3"/>
        </w:numPr>
        <w:spacing w:after="140"/>
      </w:pPr>
      <w:r>
        <w:rPr>
          <w:rFonts w:ascii="Segoe UI" w:cs="Segoe UI" w:eastAsia="Segoe UI" w:hAnsi="Segoe UI"/>
          <w:b/>
          <w:bCs/>
          <w:sz w:val="20"/>
          <w:szCs w:val="20"/>
        </w:rPr>
        <w:t xml:space="preserve">Idempotency &amp; Fraud Protection: </w:t>
      </w:r>
      <w:r>
        <w:rPr>
          <w:rFonts w:ascii="Segoe UI" w:cs="Segoe UI" w:eastAsia="Segoe UI" w:hAnsi="Segoe UI"/>
          <w:sz w:val="20"/>
          <w:szCs w:val="20"/>
        </w:rPr>
        <w:t xml:space="preserve">All checkout initiations use unique Idempotency-Key headers and unique sequential invoice numbers (e.g. MN-20261010-0001-01), guaranteeing that no duplicate payments can occur.</w:t>
      </w:r>
    </w:p>
    <w:p>
      <w:pPr>
        <w:spacing w:after="80" w:before="300"/>
      </w:pPr>
      <w:r>
        <w:rPr>
          <w:rFonts w:ascii="Segoe UI" w:cs="Segoe UI" w:eastAsia="Segoe UI" w:hAnsi="Segoe UI"/>
          <w:b/>
          <w:bCs/>
          <w:sz w:val="20"/>
          <w:szCs w:val="20"/>
        </w:rPr>
        <w:t xml:space="preserve">Submitted by: </w:t>
      </w:r>
      <w:r>
        <w:rPr>
          <w:rFonts w:ascii="Segoe UI" w:cs="Segoe UI" w:eastAsia="Segoe UI" w:hAnsi="Segoe UI"/>
          <w:sz w:val="20"/>
          <w:szCs w:val="20"/>
        </w:rPr>
        <w:t xml:space="preserve">MINAN Engineering Team</w:t>
      </w:r>
    </w:p>
    <w:p>
      <w:pPr>
        <w:spacing w:after="80"/>
      </w:pPr>
      <w:r>
        <w:rPr>
          <w:rFonts w:ascii="Segoe UI" w:cs="Segoe UI" w:eastAsia="Segoe UI" w:hAnsi="Segoe UI"/>
          <w:b/>
          <w:bCs/>
          <w:sz w:val="20"/>
          <w:szCs w:val="20"/>
        </w:rPr>
        <w:t xml:space="preserve">Contact: </w:t>
      </w:r>
      <w:r>
        <w:rPr>
          <w:rFonts w:ascii="Segoe UI" w:cs="Segoe UI" w:eastAsia="Segoe UI" w:hAnsi="Segoe UI"/>
          <w:sz w:val="20"/>
          <w:szCs w:val="20"/>
        </w:rPr>
        <w:t xml:space="preserve">akibqureshee11@gmail.com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2026-10-10T02:29:31.995Z</dcterms:created>
  <dcterms:modified xsi:type="dcterms:W3CDTF">2026-10-10T02:29:31.996Z</dcterms:modified>
</cp:coreProperties>
</file>

<file path=docProps/custom.xml><?xml version="1.0" encoding="utf-8"?>
<Properties xmlns="http://schemas.openxmlformats.org/officeDocument/2006/custom-properties" xmlns:vt="http://schemas.openxmlformats.org/officeDocument/2006/docPropsVTypes"/>
</file>