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v2.3, 15 October 2026. Milestones 1, 2 and 2b are complete;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and 2 (auth) are complete and pushed to </w:t>
      </w:r>
      <w:r>
        <w:rPr>
          <w:rFonts w:ascii="Consolas" w:hAnsi="Consolas" w:cs="Consolas"/>
          <w:sz w:val="20"/>
        </w:rPr>
        <w:t xml:space="preserve">main</w:t>
      </w:r>
      <w:r>
        <w:t xml:space="preserve">.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onboarding, and a home placeholder.</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Tests: pgTAP in </w:t>
      </w:r>
      <w:r>
        <w:rPr>
          <w:rFonts w:ascii="Consolas" w:hAnsi="Consolas" w:cs="Consolas"/>
          <w:sz w:val="20"/>
        </w:rPr>
        <w:t xml:space="preserve">supabase/tests/database</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profiles migration, auth settings and an email sender are applied at deployment.</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Avatar bucket and limits.</w:t>
      </w:r>
      <w:r>
        <w:t xml:space="preserve"> Recommendation: public bucket, 2 MB maximum, JPEG, PNG or WebP.</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v2.3, 15 October 2026:</w:t>
      </w:r>
      <w:r>
        <w:t xml:space="preserve"> hosting changed from Netlify to Vercel and email from Resend to Gmail SMTP; no custom domain needed.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