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v2.3, 15 October 2026. Milestones 1, 2 and 2b are complete;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last_read_message_id nullable, reserved for unread counts and read receipts</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locks the request row (SELECT … FOR UPDATE), checks that the caller is the recipient and the status is pending, inserts the friendship, creates the conversation, mapping and both membership rows only if the pair has none (relying on the unique constraint via INSERT … ON CONFLICT DO NOTHING rather than a prior SELECT), and marks the request accepted.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and block_user.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and 2 (auth) are complete and pushed to </w:t>
      </w:r>
      <w:r>
        <w:rPr>
          <w:rFonts w:ascii="Consolas" w:hAnsi="Consolas" w:cs="Consolas"/>
          <w:sz w:val="20"/>
        </w:rPr>
        <w:t xml:space="preserve">main</w:t>
      </w:r>
      <w:r>
        <w:t xml:space="preserve">.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onboarding, and a home placeholder.</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Tests: pgTAP in </w:t>
      </w:r>
      <w:r>
        <w:rPr>
          <w:rFonts w:ascii="Consolas" w:hAnsi="Consolas" w:cs="Consolas"/>
          <w:sz w:val="20"/>
        </w:rPr>
        <w:t xml:space="preserve">supabase/tests/database</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profiles migration, auth settings and an email sender are applied at deployment.</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Search behaviour.</w:t>
      </w:r>
      <w:r>
        <w:t xml:space="preserve"> Recommendation: prefix match on username, minimum 3 characters, at most 20 results.</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