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B45309"/>
          <w:sz w:val="40"/>
          <w:szCs w:val="40"/>
        </w:rPr>
        <w:t xml:space="preserve">TECHNICAL AUDIT &amp; JUDGE-PREP DOSSIER</w:t>
      </w:r>
    </w:p>
    <w:p>
      <w:pPr>
        <w:spacing w:after="40"/>
        <w:jc w:val="center"/>
      </w:pPr>
      <w:r>
        <w:rPr>
          <w:b/>
          <w:bCs/>
          <w:sz w:val="56"/>
          <w:szCs w:val="56"/>
        </w:rPr>
        <w:t xml:space="preserve">AEGIS</w:t>
      </w:r>
    </w:p>
    <w:p>
      <w:pPr>
        <w:spacing w:after="260"/>
        <w:jc w:val="center"/>
      </w:pPr>
      <w:r>
        <w:rPr>
          <w:i/>
          <w:iCs/>
          <w:color w:val="57534E"/>
          <w:sz w:val="24"/>
          <w:szCs w:val="24"/>
        </w:rPr>
        <w:t xml:space="preserve">Anomalous Event Graph Intelligence System — Know Your Project</w:t>
      </w:r>
    </w:p>
    <w:p>
      <w:pPr>
        <w:spacing w:after="140" w:line="276"/>
      </w:pPr>
      <w:r>
        <w:t xml:space="preserve">Built entirely from repo ground truth: README.md, CLAUDE.md, PLAN_MASTER.md, every file under docs/, and direct source reads across src/, backend/, and frontend/ — re-verified against the current tree, not carried forward from the prior edition.</w:t>
      </w:r>
    </w:p>
    <w:p>
      <w:pPr>
        <w:spacing w:after="140" w:line="276"/>
      </w:pPr>
      <w:r>
        <w:rPr>
          <w:b/>
          <w:bCs/>
        </w:rPr>
        <w:t xml:space="preserve">Second edition — 2026-09-03.</w:t>
      </w:r>
      <w:r>
        <w:t xml:space="preserve"> The first edition (2026-09-02) audited a system that has since changed substantially: the Speed/Inject controls were wired, authentication and rate limiting were added, a train/eval scaler leak was fixed, the CII engine's shares_provider correlation was implemented, age-based retention was added, two real frontend bugs were found and fixed, and — the largest change — a five-detector Hybrid IDS correlation layer was built and wired into the live pipeline. Every fact below was re-verified against the current codebase, not copied forward. Where the first edition's finding is now resolved, that is stated explicitly rather than silently dropped, matching this project's own stated documentation policy (CLAUDE.md §8: code is authoritative, stale docs are a tracked failure mode, not a surprise).</w:t>
      </w:r>
    </w:p>
    <w:p>
      <w:pPr>
        <w:pStyle w:val="Heading2"/>
        <w:spacing w:after="120" w:before="320"/>
      </w:pPr>
      <w:r>
        <w:rPr>
          <w:b/>
          <w:bCs/>
          <w:sz w:val="24"/>
          <w:szCs w:val="24"/>
        </w:rPr>
        <w:t xml:space="preserve">Change Log Since the First Edition (2026-09-02)</w:t>
      </w:r>
    </w:p>
    <w:p>
      <w:pPr>
        <w:spacing w:after="140" w:line="276"/>
      </w:pPr>
      <w:r>
        <w:t xml:space="preserve">Read this section first if you already know the first edition. Everything else in this document is the full, re-verified audit — this is the delta.</w:t>
      </w:r>
    </w:p>
    <w:tbl>
      <w:tblPr>
        <w:tblW w:type="pct" w:w="100%"/>
        <w:tblBorders>
          <w:top w:val="single" w:color="D8CBB0" w:sz="4"/>
          <w:left w:val="single" w:color="D8CBB0" w:sz="4"/>
          <w:bottom w:val="single" w:color="D8CBB0" w:sz="4"/>
          <w:right w:val="single" w:color="D8CBB0" w:sz="4"/>
          <w:insideH w:val="single" w:color="D8CBB0" w:sz="4"/>
          <w:insideV w:val="single" w:color="D8CBB0" w:sz="4"/>
        </w:tblBorders>
      </w:tblPr>
      <w:tblGrid>
        <w:gridCol w:w="100"/>
        <w:gridCol w:w="100"/>
        <w:gridCol w:w="100"/>
      </w:tblGrid>
      <w:tr>
        <w:trPr>
          <w:tblHeader/>
        </w:trPr>
        <w:tc>
          <w:tcPr>
            <w:tcW w:type="pct" w:w="18%"/>
            <w:shd w:fill="1C1917" w:val="clear"/>
            <w:tcMar>
              <w:top w:type="dxa" w:w="100"/>
              <w:left w:type="dxa" w:w="120"/>
              <w:bottom w:type="dxa" w:w="100"/>
              <w:right w:type="dxa" w:w="120"/>
            </w:tcMar>
            <w:vAlign w:val="center"/>
          </w:tcPr>
          <w:p>
            <w:r>
              <w:rPr>
                <w:b/>
                <w:bCs/>
                <w:color w:val="FFFFFF"/>
                <w:sz w:val="19"/>
                <w:szCs w:val="19"/>
              </w:rPr>
              <w:t xml:space="preserve">Area</w:t>
            </w:r>
          </w:p>
        </w:tc>
        <w:tc>
          <w:tcPr>
            <w:tcW w:type="pct" w:w="36%"/>
            <w:shd w:fill="1C1917" w:val="clear"/>
            <w:tcMar>
              <w:top w:type="dxa" w:w="100"/>
              <w:left w:type="dxa" w:w="120"/>
              <w:bottom w:type="dxa" w:w="100"/>
              <w:right w:type="dxa" w:w="120"/>
            </w:tcMar>
            <w:vAlign w:val="center"/>
          </w:tcPr>
          <w:p>
            <w:r>
              <w:rPr>
                <w:b/>
                <w:bCs/>
                <w:color w:val="FFFFFF"/>
                <w:sz w:val="19"/>
                <w:szCs w:val="19"/>
              </w:rPr>
              <w:t xml:space="preserve">First edition said</w:t>
            </w:r>
          </w:p>
        </w:tc>
        <w:tc>
          <w:tcPr>
            <w:tcW w:type="pct" w:w="46%"/>
            <w:shd w:fill="1C1917" w:val="clear"/>
            <w:tcMar>
              <w:top w:type="dxa" w:w="100"/>
              <w:left w:type="dxa" w:w="120"/>
              <w:bottom w:type="dxa" w:w="100"/>
              <w:right w:type="dxa" w:w="120"/>
            </w:tcMar>
            <w:vAlign w:val="center"/>
          </w:tcPr>
          <w:p>
            <w:r>
              <w:rPr>
                <w:b/>
                <w:bCs/>
                <w:color w:val="FFFFFF"/>
                <w:sz w:val="19"/>
                <w:szCs w:val="19"/>
              </w:rPr>
              <w:t xml:space="preserve">Now</w:t>
            </w:r>
          </w:p>
        </w:tc>
      </w:tr>
      <w:tr>
        <w:tc>
          <w:tcPr>
            <w:tcW w:type="pct" w:w="18%"/>
            <w:tcMar>
              <w:top w:type="dxa" w:w="100"/>
              <w:left w:type="dxa" w:w="120"/>
              <w:bottom w:type="dxa" w:w="100"/>
              <w:right w:type="dxa" w:w="120"/>
            </w:tcMar>
            <w:vAlign w:val="center"/>
          </w:tcPr>
          <w:p>
            <w:r>
              <w:rPr>
                <w:sz w:val="20"/>
                <w:szCs w:val="20"/>
              </w:rPr>
              <w:t xml:space="preserve">Speed &amp; Inject controls</w:t>
            </w:r>
          </w:p>
        </w:tc>
        <w:tc>
          <w:tcPr>
            <w:tcW w:type="pct" w:w="36%"/>
            <w:tcMar>
              <w:top w:type="dxa" w:w="100"/>
              <w:left w:type="dxa" w:w="120"/>
              <w:bottom w:type="dxa" w:w="100"/>
              <w:right w:type="dxa" w:w="120"/>
            </w:tcMar>
            <w:vAlign w:val="center"/>
          </w:tcPr>
          <w:p>
            <w:r>
              <w:rPr>
                <w:sz w:val="20"/>
                <w:szCs w:val="20"/>
              </w:rPr>
              <w:t xml:space="preserve">Not wired — the CRITICAL live-demo risk of the first edition</w:t>
            </w:r>
          </w:p>
        </w:tc>
        <w:tc>
          <w:tcPr>
            <w:tcW w:type="pct" w:w="46%"/>
            <w:tcMar>
              <w:top w:type="dxa" w:w="100"/>
              <w:left w:type="dxa" w:w="120"/>
              <w:bottom w:type="dxa" w:w="100"/>
              <w:right w:type="dxa" w:w="120"/>
            </w:tcMar>
            <w:vAlign w:val="center"/>
          </w:tcPr>
          <w:p>
            <w:r>
              <w:rPr>
                <w:sz w:val="20"/>
                <w:szCs w:val="20"/>
              </w:rPr>
              <w:t xml:space="preserve">Both wired to the real API (frontend/src/lib/api.ts). Inject opens a real popover backed by GET /api/inject/scenarios and POST /api/inject. No longer a demo risk.</w:t>
            </w:r>
          </w:p>
        </w:tc>
      </w:tr>
      <w:tr>
        <w:tc>
          <w:tcPr>
            <w:tcW w:type="pct" w:w="18%"/>
            <w:shd w:fill="F5F0E8" w:val="clear"/>
            <w:tcMar>
              <w:top w:type="dxa" w:w="100"/>
              <w:left w:type="dxa" w:w="120"/>
              <w:bottom w:type="dxa" w:w="100"/>
              <w:right w:type="dxa" w:w="120"/>
            </w:tcMar>
            <w:vAlign w:val="center"/>
          </w:tcPr>
          <w:p>
            <w:r>
              <w:rPr>
                <w:sz w:val="20"/>
                <w:szCs w:val="20"/>
              </w:rPr>
              <w:t xml:space="preserve">Authentication</w:t>
            </w:r>
          </w:p>
        </w:tc>
        <w:tc>
          <w:tcPr>
            <w:tcW w:type="pct" w:w="36%"/>
            <w:shd w:fill="F5F0E8" w:val="clear"/>
            <w:tcMar>
              <w:top w:type="dxa" w:w="100"/>
              <w:left w:type="dxa" w:w="120"/>
              <w:bottom w:type="dxa" w:w="100"/>
              <w:right w:type="dxa" w:w="120"/>
            </w:tcMar>
            <w:vAlign w:val="center"/>
          </w:tcPr>
          <w:p>
            <w:r>
              <w:rPr>
                <w:sz w:val="20"/>
                <w:szCs w:val="20"/>
              </w:rPr>
              <w:t xml:space="preserve">Zero authentication on every route</w:t>
            </w:r>
          </w:p>
        </w:tc>
        <w:tc>
          <w:tcPr>
            <w:tcW w:type="pct" w:w="46%"/>
            <w:shd w:fill="F5F0E8" w:val="clear"/>
            <w:tcMar>
              <w:top w:type="dxa" w:w="100"/>
              <w:left w:type="dxa" w:w="120"/>
              <w:bottom w:type="dxa" w:w="100"/>
              <w:right w:type="dxa" w:w="120"/>
            </w:tcMar>
            <w:vAlign w:val="center"/>
          </w:tcPr>
          <w:p>
            <w:r>
              <w:rPr>
                <w:sz w:val="20"/>
                <w:szCs w:val="20"/>
              </w:rPr>
              <w:t xml:space="preserve">Optional bearer-token auth (BACKEND_SETTINGS.api_token) now gates every state-changing route; GET routes stay open. Off by default (still loopback-first posture) — an operator opts in via an env var. Still not a production auth system by design (see Part 11).</w:t>
            </w:r>
          </w:p>
        </w:tc>
      </w:tr>
      <w:tr>
        <w:tc>
          <w:tcPr>
            <w:tcW w:type="pct" w:w="18%"/>
            <w:tcMar>
              <w:top w:type="dxa" w:w="100"/>
              <w:left w:type="dxa" w:w="120"/>
              <w:bottom w:type="dxa" w:w="100"/>
              <w:right w:type="dxa" w:w="120"/>
            </w:tcMar>
            <w:vAlign w:val="center"/>
          </w:tcPr>
          <w:p>
            <w:r>
              <w:rPr>
                <w:sz w:val="20"/>
                <w:szCs w:val="20"/>
              </w:rPr>
              <w:t xml:space="preserve">Rate limiting</w:t>
            </w:r>
          </w:p>
        </w:tc>
        <w:tc>
          <w:tcPr>
            <w:tcW w:type="pct" w:w="36%"/>
            <w:tcMar>
              <w:top w:type="dxa" w:w="100"/>
              <w:left w:type="dxa" w:w="120"/>
              <w:bottom w:type="dxa" w:w="100"/>
              <w:right w:type="dxa" w:w="120"/>
            </w:tcMar>
            <w:vAlign w:val="center"/>
          </w:tcPr>
          <w:p>
            <w:r>
              <w:rPr>
                <w:sz w:val="20"/>
                <w:szCs w:val="20"/>
              </w:rPr>
              <w:t xml:space="preserve">None found on any route</w:t>
            </w:r>
          </w:p>
        </w:tc>
        <w:tc>
          <w:tcPr>
            <w:tcW w:type="pct" w:w="46%"/>
            <w:tcMar>
              <w:top w:type="dxa" w:w="100"/>
              <w:left w:type="dxa" w:w="120"/>
              <w:bottom w:type="dxa" w:w="100"/>
              <w:right w:type="dxa" w:w="120"/>
            </w:tcMar>
            <w:vAlign w:val="center"/>
          </w:tcPr>
          <w:p>
            <w:r>
              <w:rPr>
                <w:sz w:val="20"/>
                <w:szCs w:val="20"/>
              </w:rPr>
              <w:t xml:space="preserve">Per-IP token-bucket rate limiting now gates the same mutating-route set the auth check protects (backend/security.py).</w:t>
            </w:r>
          </w:p>
        </w:tc>
      </w:tr>
      <w:tr>
        <w:tc>
          <w:tcPr>
            <w:tcW w:type="pct" w:w="18%"/>
            <w:shd w:fill="F5F0E8" w:val="clear"/>
            <w:tcMar>
              <w:top w:type="dxa" w:w="100"/>
              <w:left w:type="dxa" w:w="120"/>
              <w:bottom w:type="dxa" w:w="100"/>
              <w:right w:type="dxa" w:w="120"/>
            </w:tcMar>
            <w:vAlign w:val="center"/>
          </w:tcPr>
          <w:p>
            <w:r>
              <w:rPr>
                <w:sz w:val="20"/>
                <w:szCs w:val="20"/>
              </w:rPr>
              <w:t xml:space="preserve">Random Forest channel</w:t>
            </w:r>
          </w:p>
        </w:tc>
        <w:tc>
          <w:tcPr>
            <w:tcW w:type="pct" w:w="36%"/>
            <w:shd w:fill="F5F0E8" w:val="clear"/>
            <w:tcMar>
              <w:top w:type="dxa" w:w="100"/>
              <w:left w:type="dxa" w:w="120"/>
              <w:bottom w:type="dxa" w:w="100"/>
              <w:right w:type="dxa" w:w="120"/>
            </w:tcMar>
            <w:vAlign w:val="center"/>
          </w:tcPr>
          <w:p>
            <w:r>
              <w:rPr>
                <w:sz w:val="20"/>
                <w:szCs w:val="20"/>
              </w:rPr>
              <w:t xml:space="preserve">"Not wired into the live pipeline" per the first edition's own direct import-list inspection</w:t>
            </w:r>
          </w:p>
        </w:tc>
        <w:tc>
          <w:tcPr>
            <w:tcW w:type="pct" w:w="46%"/>
            <w:shd w:fill="F5F0E8" w:val="clear"/>
            <w:tcMar>
              <w:top w:type="dxa" w:w="100"/>
              <w:left w:type="dxa" w:w="120"/>
              <w:bottom w:type="dxa" w:w="100"/>
              <w:right w:type="dxa" w:w="120"/>
            </w:tcMar>
            <w:vAlign w:val="center"/>
          </w:tcPr>
          <w:p>
            <w:r>
              <w:rPr>
                <w:sz w:val="20"/>
                <w:szCs w:val="20"/>
              </w:rPr>
              <w:t xml:space="preserve">This finding was already stale even at the first edition's own writing — backend/ingest.py has imported and scored with SupervisedFlowScorer since the Phase B pass. Corrected in this edition (Part 7).</w:t>
            </w:r>
          </w:p>
        </w:tc>
      </w:tr>
      <w:tr>
        <w:tc>
          <w:tcPr>
            <w:tcW w:type="pct" w:w="18%"/>
            <w:tcMar>
              <w:top w:type="dxa" w:w="100"/>
              <w:left w:type="dxa" w:w="120"/>
              <w:bottom w:type="dxa" w:w="100"/>
              <w:right w:type="dxa" w:w="120"/>
            </w:tcMar>
            <w:vAlign w:val="center"/>
          </w:tcPr>
          <w:p>
            <w:r>
              <w:rPr>
                <w:sz w:val="20"/>
                <w:szCs w:val="20"/>
              </w:rPr>
              <w:t xml:space="preserve">Train/eval scaler leak</w:t>
            </w:r>
          </w:p>
        </w:tc>
        <w:tc>
          <w:tcPr>
            <w:tcW w:type="pct" w:w="36%"/>
            <w:tcMar>
              <w:top w:type="dxa" w:w="100"/>
              <w:left w:type="dxa" w:w="120"/>
              <w:bottom w:type="dxa" w:w="100"/>
              <w:right w:type="dxa" w:w="120"/>
            </w:tcMar>
            <w:vAlign w:val="center"/>
          </w:tcPr>
          <w:p>
            <w:r>
              <w:rPr>
                <w:sz w:val="20"/>
                <w:szCs w:val="20"/>
              </w:rPr>
              <w:t xml:space="preserve">StandardScaler fit on the full dataset before the split — a named MEDIUM gap</w:t>
            </w:r>
          </w:p>
        </w:tc>
        <w:tc>
          <w:tcPr>
            <w:tcW w:type="pct" w:w="46%"/>
            <w:tcMar>
              <w:top w:type="dxa" w:w="100"/>
              <w:left w:type="dxa" w:w="120"/>
              <w:bottom w:type="dxa" w:w="100"/>
              <w:right w:type="dxa" w:w="120"/>
            </w:tcMar>
            <w:vAlign w:val="center"/>
          </w:tcPr>
          <w:p>
            <w:r>
              <w:rPr>
                <w:sz w:val="20"/>
                <w:szCs w:val="20"/>
              </w:rPr>
              <w:t xml:space="preserve">Fixed. preprocess_features() now accepts a pre-fit scaler; run_evaluation() fits on the train split only. Benchmarks re-measured: every metric moved ≤0.001.</w:t>
            </w:r>
          </w:p>
        </w:tc>
      </w:tr>
      <w:tr>
        <w:tc>
          <w:tcPr>
            <w:tcW w:type="pct" w:w="18%"/>
            <w:shd w:fill="F5F0E8" w:val="clear"/>
            <w:tcMar>
              <w:top w:type="dxa" w:w="100"/>
              <w:left w:type="dxa" w:w="120"/>
              <w:bottom w:type="dxa" w:w="100"/>
              <w:right w:type="dxa" w:w="120"/>
            </w:tcMar>
            <w:vAlign w:val="center"/>
          </w:tcPr>
          <w:p>
            <w:r>
              <w:rPr>
                <w:sz w:val="20"/>
                <w:szCs w:val="20"/>
              </w:rPr>
              <w:t xml:space="preserve">shares_provider correlation</w:t>
            </w:r>
          </w:p>
        </w:tc>
        <w:tc>
          <w:tcPr>
            <w:tcW w:type="pct" w:w="36%"/>
            <w:shd w:fill="F5F0E8" w:val="clear"/>
            <w:tcMar>
              <w:top w:type="dxa" w:w="100"/>
              <w:left w:type="dxa" w:w="120"/>
              <w:bottom w:type="dxa" w:w="100"/>
              <w:right w:type="dxa" w:w="120"/>
            </w:tcMar>
            <w:vAlign w:val="center"/>
          </w:tcPr>
          <w:p>
            <w:r>
              <w:rPr>
                <w:sz w:val="20"/>
                <w:szCs w:val="20"/>
              </w:rPr>
              <w:t xml:space="preserve">Documented as correlated common-mode failure, coded as independent sampling — a named MEDIUM gap</w:t>
            </w:r>
          </w:p>
        </w:tc>
        <w:tc>
          <w:tcPr>
            <w:tcW w:type="pct" w:w="46%"/>
            <w:shd w:fill="F5F0E8" w:val="clear"/>
            <w:tcMar>
              <w:top w:type="dxa" w:w="100"/>
              <w:left w:type="dxa" w:w="120"/>
              <w:bottom w:type="dxa" w:w="100"/>
              <w:right w:type="dxa" w:w="120"/>
            </w:tcMar>
            <w:vAlign w:val="center"/>
          </w:tcPr>
          <w:p>
            <w:r>
              <w:rPr>
                <w:sz w:val="20"/>
                <w:szCs w:val="20"/>
              </w:rPr>
              <w:t xml:space="preserve">Fixed. Edges sharing a provider_id now draw one Bernoulli per provider per Monte Carlo iteration. No production edge currently uses this type, so no published CII number changed — only the code path's correctness.</w:t>
            </w:r>
          </w:p>
        </w:tc>
      </w:tr>
      <w:tr>
        <w:tc>
          <w:tcPr>
            <w:tcW w:type="pct" w:w="18%"/>
            <w:tcMar>
              <w:top w:type="dxa" w:w="100"/>
              <w:left w:type="dxa" w:w="120"/>
              <w:bottom w:type="dxa" w:w="100"/>
              <w:right w:type="dxa" w:w="120"/>
            </w:tcMar>
            <w:vAlign w:val="center"/>
          </w:tcPr>
          <w:p>
            <w:r>
              <w:rPr>
                <w:sz w:val="20"/>
                <w:szCs w:val="20"/>
              </w:rPr>
              <w:t xml:space="preserve">Event retention</w:t>
            </w:r>
          </w:p>
        </w:tc>
        <w:tc>
          <w:tcPr>
            <w:tcW w:type="pct" w:w="36%"/>
            <w:tcMar>
              <w:top w:type="dxa" w:w="100"/>
              <w:left w:type="dxa" w:w="120"/>
              <w:bottom w:type="dxa" w:w="100"/>
              <w:right w:type="dxa" w:w="120"/>
            </w:tcMar>
            <w:vAlign w:val="center"/>
          </w:tcPr>
          <w:p>
            <w:r>
              <w:rPr>
                <w:sz w:val="20"/>
                <w:szCs w:val="20"/>
              </w:rPr>
              <w:t xml:space="preserve">Row-count cap only, no age-based policy — a named gap</w:t>
            </w:r>
          </w:p>
        </w:tc>
        <w:tc>
          <w:tcPr>
            <w:tcW w:type="pct" w:w="46%"/>
            <w:tcMar>
              <w:top w:type="dxa" w:w="100"/>
              <w:left w:type="dxa" w:w="120"/>
              <w:bottom w:type="dxa" w:w="100"/>
              <w:right w:type="dxa" w:w="120"/>
            </w:tcMar>
            <w:vAlign w:val="center"/>
          </w:tcPr>
          <w:p>
            <w:r>
              <w:rPr>
                <w:sz w:val="20"/>
                <w:szCs w:val="20"/>
              </w:rPr>
              <w:t xml:space="preserve">Added an optional, additive max_age_days bound (default off, preserving prior behavior).</w:t>
            </w:r>
          </w:p>
        </w:tc>
      </w:tr>
      <w:tr>
        <w:tc>
          <w:tcPr>
            <w:tcW w:type="pct" w:w="18%"/>
            <w:shd w:fill="F5F0E8" w:val="clear"/>
            <w:tcMar>
              <w:top w:type="dxa" w:w="100"/>
              <w:left w:type="dxa" w:w="120"/>
              <w:bottom w:type="dxa" w:w="100"/>
              <w:right w:type="dxa" w:w="120"/>
            </w:tcMar>
            <w:vAlign w:val="center"/>
          </w:tcPr>
          <w:p>
            <w:r>
              <w:rPr>
                <w:sz w:val="20"/>
                <w:szCs w:val="20"/>
              </w:rPr>
              <w:t xml:space="preserve">Gateway/City_Grid graph visibility</w:t>
            </w:r>
          </w:p>
        </w:tc>
        <w:tc>
          <w:tcPr>
            <w:tcW w:type="pct" w:w="36%"/>
            <w:shd w:fill="F5F0E8" w:val="clear"/>
            <w:tcMar>
              <w:top w:type="dxa" w:w="100"/>
              <w:left w:type="dxa" w:w="120"/>
              <w:bottom w:type="dxa" w:w="100"/>
              <w:right w:type="dxa" w:w="120"/>
            </w:tcMar>
            <w:vAlign w:val="center"/>
          </w:tcPr>
          <w:p>
            <w:r>
              <w:rPr>
                <w:sz w:val="20"/>
                <w:szCs w:val="20"/>
              </w:rPr>
              <w:t xml:space="preserve">Not raised in the first edition — a bug found live in this pass</w:t>
            </w:r>
          </w:p>
        </w:tc>
        <w:tc>
          <w:tcPr>
            <w:tcW w:type="pct" w:w="46%"/>
            <w:shd w:fill="F5F0E8" w:val="clear"/>
            <w:tcMar>
              <w:top w:type="dxa" w:w="100"/>
              <w:left w:type="dxa" w:w="120"/>
              <w:bottom w:type="dxa" w:w="100"/>
              <w:right w:type="dxa" w:w="120"/>
            </w:tcMar>
            <w:vAlign w:val="center"/>
          </w:tcPr>
          <w:p>
            <w:r>
              <w:rPr>
                <w:sz w:val="20"/>
                <w:szCs w:val="20"/>
              </w:rPr>
              <w:t xml:space="preserve">The compact (default) city graph silently dropped the 4 Purdue gateways and the synthesized City_Grid node — and every cascade edge touching them — even after expanding every real sector by hand. Fixed: they are now a real eleventh sector ("Infrastructure"), verified live against an actual gateway-routed cascade.</w:t>
            </w:r>
          </w:p>
        </w:tc>
      </w:tr>
      <w:tr>
        <w:tc>
          <w:tcPr>
            <w:tcW w:type="pct" w:w="18%"/>
            <w:tcMar>
              <w:top w:type="dxa" w:w="100"/>
              <w:left w:type="dxa" w:w="120"/>
              <w:bottom w:type="dxa" w:w="100"/>
              <w:right w:type="dxa" w:w="120"/>
            </w:tcMar>
            <w:vAlign w:val="center"/>
          </w:tcPr>
          <w:p>
            <w:r>
              <w:rPr>
                <w:sz w:val="20"/>
                <w:szCs w:val="20"/>
              </w:rPr>
              <w:t xml:space="preserve">CII cascade broadcast on debounce</w:t>
            </w:r>
          </w:p>
        </w:tc>
        <w:tc>
          <w:tcPr>
            <w:tcW w:type="pct" w:w="36%"/>
            <w:tcMar>
              <w:top w:type="dxa" w:w="100"/>
              <w:left w:type="dxa" w:w="120"/>
              <w:bottom w:type="dxa" w:w="100"/>
              <w:right w:type="dxa" w:w="120"/>
            </w:tcMar>
            <w:vAlign w:val="center"/>
          </w:tcPr>
          <w:p>
            <w:r>
              <w:rPr>
                <w:sz w:val="20"/>
                <w:szCs w:val="20"/>
              </w:rPr>
              <w:t xml:space="preserve">Not raised in the first edition — a bug found live in this pass</w:t>
            </w:r>
          </w:p>
        </w:tc>
        <w:tc>
          <w:tcPr>
            <w:tcW w:type="pct" w:w="46%"/>
            <w:tcMar>
              <w:top w:type="dxa" w:w="100"/>
              <w:left w:type="dxa" w:w="120"/>
              <w:bottom w:type="dxa" w:w="100"/>
              <w:right w:type="dxa" w:w="120"/>
            </w:tcMar>
            <w:vAlign w:val="center"/>
          </w:tcPr>
          <w:p>
            <w:r>
              <w:rPr>
                <w:sz w:val="20"/>
                <w:szCs w:val="20"/>
              </w:rPr>
              <w:t xml:space="preserve">A debounced repeat compromise on the same asset computed a fresh blast radius but never pushed it to the live view — the graph froze on the first hit. Fixed and verified with a live WebSocket-frame capture (30 cii frames received on a debounced second injection, versus 0 before the fix).</w:t>
            </w:r>
          </w:p>
        </w:tc>
      </w:tr>
      <w:tr>
        <w:tc>
          <w:tcPr>
            <w:tcW w:type="pct" w:w="18%"/>
            <w:shd w:fill="F5F0E8" w:val="clear"/>
            <w:tcMar>
              <w:top w:type="dxa" w:w="100"/>
              <w:left w:type="dxa" w:w="120"/>
              <w:bottom w:type="dxa" w:w="100"/>
              <w:right w:type="dxa" w:w="120"/>
            </w:tcMar>
            <w:vAlign w:val="center"/>
          </w:tcPr>
          <w:p>
            <w:r>
              <w:rPr>
                <w:sz w:val="20"/>
                <w:szCs w:val="20"/>
              </w:rPr>
              <w:t xml:space="preserve">Hybrid IDS</w:t>
            </w:r>
          </w:p>
        </w:tc>
        <w:tc>
          <w:tcPr>
            <w:tcW w:type="pct" w:w="36%"/>
            <w:shd w:fill="F5F0E8" w:val="clear"/>
            <w:tcMar>
              <w:top w:type="dxa" w:w="100"/>
              <w:left w:type="dxa" w:w="120"/>
              <w:bottom w:type="dxa" w:w="100"/>
              <w:right w:type="dxa" w:w="120"/>
            </w:tcMar>
            <w:vAlign w:val="center"/>
          </w:tcPr>
          <w:p>
            <w:r>
              <w:rPr>
                <w:sz w:val="20"/>
                <w:szCs w:val="20"/>
              </w:rPr>
              <w:t xml:space="preserve">Did not exist</w:t>
            </w:r>
          </w:p>
        </w:tc>
        <w:tc>
          <w:tcPr>
            <w:tcW w:type="pct" w:w="46%"/>
            <w:shd w:fill="F5F0E8" w:val="clear"/>
            <w:tcMar>
              <w:top w:type="dxa" w:w="100"/>
              <w:left w:type="dxa" w:w="120"/>
              <w:bottom w:type="dxa" w:w="100"/>
              <w:right w:type="dxa" w:w="120"/>
            </w:tcMar>
            <w:vAlign w:val="center"/>
          </w:tcPr>
          <w:p>
            <w:r>
              <w:rPr>
                <w:sz w:val="20"/>
                <w:szCs w:val="20"/>
              </w:rPr>
              <w:t xml:space="preserve">New. Two new detectors (a metadata signature-rule engine, a temporal beaconing detector) plus a fusion engine that combines all five detector opinions (those two, plus the existing volumetric/tripwire/supervised channels) into one decision per flow. Ships observable — persisted, broadcast, and visible per-event — but not yet authoritative over alerting (hybrid_gates_alerts=False by default). Full audit in Part 7 and Part 8.</w:t>
            </w:r>
          </w:p>
        </w:tc>
      </w:tr>
      <w:tr>
        <w:tc>
          <w:tcPr>
            <w:tcW w:type="pct" w:w="18%"/>
            <w:tcMar>
              <w:top w:type="dxa" w:w="100"/>
              <w:left w:type="dxa" w:w="120"/>
              <w:bottom w:type="dxa" w:w="100"/>
              <w:right w:type="dxa" w:w="120"/>
            </w:tcMar>
            <w:vAlign w:val="center"/>
          </w:tcPr>
          <w:p>
            <w:r>
              <w:rPr>
                <w:sz w:val="20"/>
                <w:szCs w:val="20"/>
              </w:rPr>
              <w:t xml:space="preserve">Signature-engine false-positive rate</w:t>
            </w:r>
          </w:p>
        </w:tc>
        <w:tc>
          <w:tcPr>
            <w:tcW w:type="pct" w:w="36%"/>
            <w:tcMar>
              <w:top w:type="dxa" w:w="100"/>
              <w:left w:type="dxa" w:w="120"/>
              <w:bottom w:type="dxa" w:w="100"/>
              <w:right w:type="dxa" w:w="120"/>
            </w:tcMar>
            <w:vAlign w:val="center"/>
          </w:tcPr>
          <w:p>
            <w:r>
              <w:rPr>
                <w:sz w:val="20"/>
                <w:szCs w:val="20"/>
              </w:rPr>
              <w:t xml:space="preserve">N/A — did not exist</w:t>
            </w:r>
          </w:p>
        </w:tc>
        <w:tc>
          <w:tcPr>
            <w:tcW w:type="pct" w:w="46%"/>
            <w:tcMar>
              <w:top w:type="dxa" w:w="100"/>
              <w:left w:type="dxa" w:w="120"/>
              <w:bottom w:type="dxa" w:w="100"/>
              <w:right w:type="dxa" w:w="120"/>
            </w:tcMar>
            <w:vAlign w:val="center"/>
          </w:tcPr>
          <w:p>
            <w:r>
              <w:rPr>
                <w:sz w:val="20"/>
                <w:szCs w:val="20"/>
              </w:rPr>
              <w:t xml:space="preserve">Measured against 40,000 real flows during this pass at 20.0% (a direction bug), root-caused and fixed twice (the first fix introduced a second, different false-positive class), landing at 0.56% — see Part 7 for the full before/after.</w:t>
            </w:r>
          </w:p>
        </w:tc>
      </w:tr>
      <w:tr>
        <w:tc>
          <w:tcPr>
            <w:tcW w:type="pct" w:w="18%"/>
            <w:shd w:fill="F5F0E8" w:val="clear"/>
            <w:tcMar>
              <w:top w:type="dxa" w:w="100"/>
              <w:left w:type="dxa" w:w="120"/>
              <w:bottom w:type="dxa" w:w="100"/>
              <w:right w:type="dxa" w:w="120"/>
            </w:tcMar>
            <w:vAlign w:val="center"/>
          </w:tcPr>
          <w:p>
            <w:r>
              <w:rPr>
                <w:sz w:val="20"/>
                <w:szCs w:val="20"/>
              </w:rPr>
              <w:t xml:space="preserve">Test suite</w:t>
            </w:r>
          </w:p>
        </w:tc>
        <w:tc>
          <w:tcPr>
            <w:tcW w:type="pct" w:w="36%"/>
            <w:shd w:fill="F5F0E8" w:val="clear"/>
            <w:tcMar>
              <w:top w:type="dxa" w:w="100"/>
              <w:left w:type="dxa" w:w="120"/>
              <w:bottom w:type="dxa" w:w="100"/>
              <w:right w:type="dxa" w:w="120"/>
            </w:tcMar>
            <w:vAlign w:val="center"/>
          </w:tcPr>
          <w:p>
            <w:r>
              <w:rPr>
                <w:sz w:val="20"/>
                <w:szCs w:val="20"/>
              </w:rPr>
              <w:t xml:space="preserve">538 passed, 13 skipped</w:t>
            </w:r>
          </w:p>
        </w:tc>
        <w:tc>
          <w:tcPr>
            <w:tcW w:type="pct" w:w="46%"/>
            <w:shd w:fill="F5F0E8" w:val="clear"/>
            <w:tcMar>
              <w:top w:type="dxa" w:w="100"/>
              <w:left w:type="dxa" w:w="120"/>
              <w:bottom w:type="dxa" w:w="100"/>
              <w:right w:type="dxa" w:w="120"/>
            </w:tcMar>
            <w:vAlign w:val="center"/>
          </w:tcPr>
          <w:p>
            <w:r>
              <w:rPr>
                <w:sz w:val="20"/>
                <w:szCs w:val="20"/>
              </w:rPr>
              <w:t xml:space="preserve">680 passed, 0 skipped (with a live Postgres instance); 665 passed / 15 skipped in the default no-DB posture — the growth is almost entirely new regression coverage for the fixes above, not scope creep.</w:t>
            </w:r>
          </w:p>
        </w:tc>
      </w:tr>
    </w:tbl>
    <w:p>
      <w:pPr>
        <w:pStyle w:val="Heading2"/>
        <w:spacing w:after="120" w:before="320"/>
      </w:pPr>
      <w:r>
        <w:rPr>
          <w:b/>
          <w:bCs/>
          <w:sz w:val="24"/>
          <w:szCs w:val="24"/>
        </w:rPr>
        <w:t xml:space="preserve">Evidence Legend</w:t>
      </w:r>
    </w:p>
    <w:p>
      <w:pPr>
        <w:spacing w:after="140" w:line="276"/>
      </w:pPr>
      <w:r>
        <w:t xml:space="preserve">Every claim in this document is tagged by evidence status. Trust the tags, not the confidence of the prose.</w:t>
      </w:r>
    </w:p>
    <w:p>
      <w:pPr>
        <w:spacing w:after="140" w:line="276"/>
      </w:pPr>
      <w:r>
        <w:rPr>
          <w:b/>
          <w:bCs/>
          <w:color w:val="15803D"/>
          <w:sz w:val="19"/>
          <w:szCs w:val="19"/>
        </w:rPr>
        <w:t xml:space="preserve">[FACT] </w:t>
      </w:r>
      <w:r>
        <w:t xml:space="preserve">confirmed directly in code or a project document, with a citation.</w:t>
      </w:r>
    </w:p>
    <w:p>
      <w:pPr>
        <w:spacing w:after="140" w:line="276"/>
      </w:pPr>
      <w:r>
        <w:rPr>
          <w:b/>
          <w:bCs/>
          <w:color w:val="0369A1"/>
          <w:sz w:val="19"/>
          <w:szCs w:val="19"/>
        </w:rPr>
        <w:t xml:space="preserve">[INFERRED] </w:t>
      </w:r>
      <w:r>
        <w:t xml:space="preserve">not stated outright, but follows directly from cited facts.</w:t>
      </w:r>
    </w:p>
    <w:p>
      <w:pPr>
        <w:spacing w:after="140" w:line="276"/>
      </w:pPr>
      <w:r>
        <w:rPr>
          <w:b/>
          <w:bCs/>
          <w:color w:val="6B7280"/>
          <w:sz w:val="19"/>
          <w:szCs w:val="19"/>
        </w:rPr>
        <w:t xml:space="preserve">[ASSUMPTION] </w:t>
      </w:r>
      <w:r>
        <w:t xml:space="preserve">plausible, but not verifiable from the repository.</w:t>
      </w:r>
    </w:p>
    <w:p>
      <w:pPr>
        <w:spacing w:after="140" w:line="276"/>
      </w:pPr>
      <w:r>
        <w:rPr>
          <w:b/>
          <w:bCs/>
          <w:color w:val="6B7280"/>
          <w:sz w:val="19"/>
          <w:szCs w:val="19"/>
        </w:rPr>
        <w:t xml:space="preserve">[NOT SPECIFIED] </w:t>
      </w:r>
      <w:r>
        <w:t xml:space="preserve">looked for specifically, and not present in any document.</w:t>
      </w:r>
    </w:p>
    <w:p>
      <w:pPr>
        <w:spacing w:after="140" w:line="276"/>
      </w:pPr>
      <w:r>
        <w:rPr>
          <w:b/>
          <w:bCs/>
          <w:color w:val="B91C1C"/>
          <w:sz w:val="19"/>
          <w:szCs w:val="19"/>
        </w:rPr>
        <w:t xml:space="preserve">[CONTRADICTION] </w:t>
      </w:r>
      <w:r>
        <w:t xml:space="preserve">two sources in this project disagree — flagged, not silently resolved.</w:t>
      </w:r>
    </w:p>
    <w:p>
      <w:pPr>
        <w:spacing w:after="140" w:line="276"/>
      </w:pPr>
      <w:r>
        <w:rPr>
          <w:b/>
          <w:bCs/>
          <w:color w:val="15803D"/>
          <w:sz w:val="19"/>
          <w:szCs w:val="19"/>
        </w:rPr>
        <w:t xml:space="preserve">[FIXED THIS PASS] </w:t>
      </w:r>
      <w:r>
        <w:t xml:space="preserve">a gap the first edition named that has since been closed, with the fix cited.</w:t>
      </w:r>
    </w:p>
    <w:tbl>
      <w:tblPr>
        <w:tblW w:type="pct" w:w="100%"/>
        <w:tblBorders>
          <w:top w:val="single" w:color="D97706" w:sz="6"/>
          <w:left w:val="single" w:color="D97706" w:sz="6"/>
          <w:bottom w:val="single" w:color="D97706" w:sz="6"/>
          <w:right w:val="single" w:color="D97706" w:sz="6"/>
          <w:insideH w:val="single" w:color="D97706" w:sz="6"/>
          <w:insideV w:val="single" w:color="D97706" w:sz="6"/>
        </w:tblBorders>
      </w:tblPr>
      <w:tblGrid>
        <w:gridCol w:w="100"/>
      </w:tblGrid>
      <w:tr>
        <w:tc>
          <w:tcPr>
            <w:shd w:fill="FEF3C7" w:val="clear"/>
            <w:tcMar>
              <w:top w:type="dxa" w:w="120"/>
              <w:left w:type="dxa" w:w="160"/>
              <w:bottom w:type="dxa" w:w="120"/>
              <w:right w:type="dxa" w:w="160"/>
            </w:tcMar>
          </w:tcPr>
          <w:p>
            <w:r>
              <w:rPr>
                <w:b/>
                <w:bCs/>
              </w:rPr>
              <w:t xml:space="preserve">⚠ </w:t>
            </w:r>
            <w:r>
              <w:rPr>
                <w:b/>
                <w:bCs/>
              </w:rPr>
              <w:t xml:space="preserve">Before You Stand Up and Demo This Live (updated):</w:t>
            </w:r>
            <w:r>
              <w:t xml:space="preserve"> The Speed and Inject controls now work — you may click them live. The two live demo risks that remain: (1) the unsupervised detector's real precision on the default landing dataset (friday-morning) is still 0.006 (5 true positives against 811 false positives, docs/DETECTION_STUDY.md §1) — if asked to "just run it and show me an alert" from unmodified replay traffic, the honest answer is still that the console suppresses that channel's noise by policy and the reliable demo path is the injection scenario. (2) The new Hybrid IDS layer is deliberately NOT wired to create alerts on its own yet (hybrid_gates_alerts=False) — if a judge asks you to demonstrate it paging an operator, it currently won't, by design; know why before being asked (Part 7).</w:t>
            </w:r>
          </w:p>
        </w:tc>
      </w:tr>
    </w:tbl>
    <w:p>
      <w:pPr>
        <w:pStyle w:val="Heading1"/>
        <w:pBdr>
          <w:bottom w:val="single" w:color="B45309" w:sz="12" w:space="4"/>
        </w:pBdr>
        <w:spacing w:after="200" w:before="480"/>
      </w:pPr>
      <w:r>
        <w:rPr>
          <w:b/>
          <w:bCs/>
          <w:color w:val="B45309"/>
          <w:sz w:val="30"/>
          <w:szCs w:val="30"/>
        </w:rPr>
        <w:t xml:space="preserve">PART 1 — Project Master Understanding</w:t>
      </w:r>
    </w:p>
    <w:p>
      <w:pPr>
        <w:pStyle w:val="Heading2"/>
        <w:spacing w:after="120" w:before="320"/>
      </w:pPr>
      <w:r>
        <w:rPr>
          <w:b/>
          <w:bCs/>
          <w:sz w:val="24"/>
          <w:szCs w:val="24"/>
        </w:rPr>
        <w:t xml:space="preserve">What problem is being solved, and for whom</w:t>
      </w:r>
    </w:p>
    <w:p>
      <w:pPr>
        <w:spacing w:after="140" w:line="276"/>
      </w:pPr>
      <w:r>
        <w:rPr>
          <w:b/>
          <w:bCs/>
          <w:color w:val="15803D"/>
          <w:sz w:val="19"/>
          <w:szCs w:val="19"/>
        </w:rPr>
        <w:t xml:space="preserve">[FACT] </w:t>
      </w:r>
      <w:r>
        <w:t xml:space="preserve">The competition brief, quoted once and only once in the repo, is: “AI-Driven Cyber Risk Detection for Smart City Digital Infrastructure.”</w:t>
      </w:r>
    </w:p>
    <w:p>
      <w:pPr>
        <w:spacing w:after="140" w:line="276"/>
      </w:pPr>
      <w:r>
        <w:t xml:space="preserve">Six requirement lines are distilled from it: data ingestion, AI/ML anomaly detection, actionable insights (risk scores/alerts/dashboards), scalability for real-world environments, explainability, and SDG 9/11 alignment. [PLAN_MASTER.md §1.11; docs/PHASE5_BUILD_PLAN.md §1]</w:t>
      </w:r>
    </w:p>
    <w:p>
      <w:pPr>
        <w:spacing w:after="140" w:line="276"/>
      </w:pPr>
      <w:r>
        <w:rPr>
          <w:b/>
          <w:bCs/>
          <w:color w:val="6B7280"/>
          <w:sz w:val="19"/>
          <w:szCs w:val="19"/>
        </w:rPr>
        <w:t xml:space="preserve">[NOT SPECIFIED] </w:t>
      </w:r>
      <w:r>
        <w:t xml:space="preserve">No competition name, sponsor, judging rubric, time limit, or scoring weights appear anywhere in the reference documents. Find out from whoever is running the pitch — it changes how you allocate your minutes.</w:t>
      </w:r>
    </w:p>
    <w:p>
      <w:pPr>
        <w:spacing w:after="140" w:line="276"/>
      </w:pPr>
      <w:r>
        <w:t xml:space="preserve">The target user is never given a name or a day-in-the-life vignette. The closest the docs get: the Operations Console is “what a city SOC operator uses,” built so “an operator sees what, why, and what falls over next in one place.” Whether that's municipal IT staff, a contracted SOC, or a state fusion center is not specified.</w:t>
      </w:r>
    </w:p>
    <w:p>
      <w:pPr>
        <w:pStyle w:val="Heading2"/>
        <w:spacing w:after="120" w:before="320"/>
      </w:pPr>
      <w:r>
        <w:rPr>
          <w:b/>
          <w:bCs/>
          <w:sz w:val="24"/>
          <w:szCs w:val="24"/>
        </w:rPr>
        <w:t xml:space="preserve">What goes in, what happens, what comes out</w:t>
      </w:r>
    </w:p>
    <w:p>
      <w:pPr>
        <w:spacing w:after="140" w:line="276"/>
      </w:pPr>
      <w:r>
        <w:rPr>
          <w:b/>
          <w:bCs/>
        </w:rPr>
        <w:t xml:space="preserve">IN:</w:t>
      </w:r>
      <w:r>
        <w:t xml:space="preserve"> real captured CIC-IDS2017 network flow records (plus, in the separate Research Console, PaySim financial transactions and SWaT ICS sensor telemetry), replayed in true chronological order. </w:t>
      </w:r>
      <w:r>
        <w:rPr>
          <w:b/>
          <w:bCs/>
        </w:rPr>
        <w:t xml:space="preserve">INTERNALLY:</w:t>
      </w:r>
      <w:r>
        <w:t xml:space="preserve"> each flow is asset-resolved, scored by a pre-fitted Isolation Forest, a honeytoken tripwire, a supervised Random Forest, and — new this pass — a signature-rule engine and a temporal beaconing detector, all five combined by a fusion engine into one decision; persisted to Postgres; and — if it clears an alert policy — triggers a Monte Carlo blast-radius simulation over a 45-asset dependency graph. </w:t>
      </w:r>
      <w:r>
        <w:rPr>
          <w:b/>
          <w:bCs/>
        </w:rPr>
        <w:t xml:space="preserve">OUT:</w:t>
      </w:r>
      <w:r>
        <w:t xml:space="preserve"> a live event feed (carrying every channel's verdict, including the fused hybrid decision), an alert with a plain-language “why,” a blast-radius visualization with an uncertainty band (median/p5/p95, not a single number), and a running risk index. </w:t>
      </w:r>
      <w:r>
        <w:rPr>
          <w:b/>
          <w:bCs/>
        </w:rPr>
        <w:t xml:space="preserve">WHO CONSUMES IT:</w:t>
      </w:r>
      <w:r>
        <w:t xml:space="preserve"> the console's human operator in real time, or a technical reviewer via the Research Console's evaluation harness. </w:t>
      </w:r>
      <w:r>
        <w:rPr>
          <w:b/>
          <w:bCs/>
        </w:rPr>
        <w:t xml:space="preserve">WHAT DECISION IT ENABLES:</w:t>
      </w:r>
      <w:r>
        <w:t xml:space="preserve"> whether to act on a specific alert, and how far a specific compromise is likely to spread before containment.</w:t>
      </w:r>
    </w:p>
    <w:p>
      <w:pPr>
        <w:pStyle w:val="Heading2"/>
        <w:spacing w:after="120" w:before="320"/>
      </w:pPr>
      <w:r>
        <w:rPr>
          <w:b/>
          <w:bCs/>
          <w:sz w:val="24"/>
          <w:szCs w:val="24"/>
        </w:rPr>
        <w:t xml:space="preserve">What's actually novel vs. what's integration</w:t>
      </w:r>
    </w:p>
    <w:p>
      <w:pPr>
        <w:spacing w:after="140" w:line="276"/>
      </w:pPr>
      <w:r>
        <w:t xml:space="preserve">Overclaiming novelty is the easiest thing for a technical judge to puncture, so be precise. Genuinely distinctive: (1) publishing a detector's measured failure modes as a first-class product feature rather than hiding them; (2) making the Purdue-zone gateway a structural graph rewrite rather than a monitoring policy; (3) rejecting “point-adjust” time-series scoring in favor of segment-wise recall / row-wise precision, tied to a cited failure mode (ESORICS 2022) rather than merely asserted; (4) </w:t>
      </w:r>
      <w:r>
        <w:rPr>
          <w:b/>
          <w:bCs/>
        </w:rPr>
        <w:t xml:space="preserve">new this pass</w:t>
      </w:r>
      <w:r>
        <w:t xml:space="preserve"> — a confirmed-signal fusion precedence rule (a zero-false-positive signal like the honeytoken always wins outright, never diluted by averaging with a weak channel), which is a specific, testable design choice, not the generic “we added more detectors” story.</w:t>
      </w:r>
    </w:p>
    <w:p>
      <w:pPr>
        <w:spacing w:after="140" w:line="276"/>
      </w:pPr>
      <w:r>
        <w:t xml:space="preserve">What's engineering integration, not novel research: Isolation Forest, Random Forest, Z-Score/MAD baselines, Monte Carlo graph simulation, NetworkX, and — the new addition — weighted noisy-OR evidence fusion, which is a standard combinator for independent evidence bearing on one hypothesis, not a new algorithm. Say this plainly if asked (Part 16).</w:t>
      </w:r>
    </w:p>
    <w:p>
      <w:pPr>
        <w:pStyle w:val="Heading2"/>
        <w:spacing w:after="120" w:before="320"/>
      </w:pPr>
      <w:r>
        <w:rPr>
          <w:b/>
          <w:bCs/>
          <w:sz w:val="24"/>
          <w:szCs w:val="24"/>
        </w:rPr>
        <w:t xml:space="preserve">Project in one sentence</w:t>
      </w:r>
    </w:p>
    <w:p>
      <w:pPr>
        <w:spacing w:after="140" w:line="276"/>
      </w:pPr>
      <w:r>
        <w:t xml:space="preserve">AEGIS replays real captured network and financial attack traffic through a live detection pipeline — now five correlated detection channels feeding one fused decision — and for every anomaly it finds, runs a Monte Carlo simulation over a curated city dependency graph to report, as a distribution, how far that compromise would spread.</w:t>
      </w:r>
    </w:p>
    <w:p>
      <w:pPr>
        <w:pStyle w:val="Heading2"/>
        <w:spacing w:after="120" w:before="320"/>
      </w:pPr>
      <w:r>
        <w:rPr>
          <w:b/>
          <w:bCs/>
          <w:sz w:val="24"/>
          <w:szCs w:val="24"/>
        </w:rPr>
        <w:t xml:space="preserve">Project in 30 seconds</w:t>
      </w:r>
    </w:p>
    <w:p>
      <w:pPr>
        <w:spacing w:after="140" w:line="276"/>
      </w:pPr>
      <w:r>
        <w:t xml:space="preserve">Smart cities are cyber-physical: compromising a payment gateway can cascade into a bank interface, then a welfare disbursement system. AEGIS answers two questions for that world — is this event anomalous, and if it's real, what falls over next. It runs on real captured CIC-IDS2017 traffic, scores it with an Isolation Forest, a Random Forest, a honeytoken tripwire, and — new — a signature-rule engine and a beaconing detector, all fused into one decision, and for every alert runs a Monte Carlo cascade simulation over a 45-asset graph with a mandatory security-gateway chokepoint. It reports blast radius as a median with a p5–p95 band, and it publishes its own detectors' measured weaknesses instead of hiding them.</w:t>
      </w:r>
    </w:p>
    <w:p>
      <w:pPr>
        <w:pStyle w:val="Heading2"/>
        <w:spacing w:after="120" w:before="320"/>
      </w:pPr>
      <w:r>
        <w:rPr>
          <w:b/>
          <w:bCs/>
          <w:sz w:val="24"/>
          <w:szCs w:val="24"/>
        </w:rPr>
        <w:t xml:space="preserve">Project in 2 minutes</w:t>
      </w:r>
    </w:p>
    <w:p>
      <w:pPr>
        <w:spacing w:after="140" w:line="276"/>
      </w:pPr>
      <w:r>
        <w:t xml:space="preserve">Add: two consoles share one engine. The Research Console (Streamlit) is the analytics workbench — dataset selection, detector benchmarking, the evaluation harness that produced honest numbers like “our unsupervised detector gets 0.006 precision on real traffic, our supervised one gets 0.996 but is blind to attacks it's never seen, and our honeytoken tripwire needs no training data and can't false-positive by construction.” The Operations Console (FastAPI + Next.js + Postgres) is the live product — real capture replayed in timestamp order, streamed over WebSocket, rendered as a live city graph that now shows all 50 real assets across 11 sectors (including the gateways) on demand, with an alert panel, an acknowledge flow, and a risk index that's a documented formula. An operator can inject a real historical attack onto any asset, restart the replay data from the top if a demo day runs out, and force a fresh stream connection if the feed looks stuck — three real, working controls, not decorative ones.</w:t>
      </w:r>
    </w:p>
    <w:p>
      <w:pPr>
        <w:pStyle w:val="Heading2"/>
        <w:spacing w:after="120" w:before="320"/>
      </w:pPr>
      <w:r>
        <w:rPr>
          <w:b/>
          <w:bCs/>
          <w:sz w:val="24"/>
          <w:szCs w:val="24"/>
        </w:rPr>
        <w:t xml:space="preserve">Project in 5 minutes</w:t>
      </w:r>
    </w:p>
    <w:p>
      <w:pPr>
        <w:spacing w:after="140" w:line="276"/>
      </w:pPr>
      <w:r>
        <w:t xml:space="preserve">Add: the honesty posture is the differentiator, not a caveat. The unsupervised Isolation Forest is nearly useless on this real traffic (Bot C2 beaconing is smaller than benign traffic — median 6 bytes vs 70 — so a volume-based outlier detector looks the wrong direction). Rather than hide that, AEGIS suppresses volumetric noise by policy and leans on a honeytoken tripwire that fires on recon, 58.4 seconds on average before the old detector would have caught the exfiltration stage — measured on scripted attack timelines, not real capture, and the docs say so. New this pass: a Hybrid IDS layer runs two additional detectors — a metadata signature-rule engine (measured, after a real bug-fix pass, at a 0.56% firing rate on 40,000 real flows) and a temporal beaconing detector answering the volumetric channel's exact blind spot — and fuses all five channels' opinions with a weighted noisy-OR combinator that has one deliberate exception: a confirmed signal like the honeytoken always wins outright, never diluted by a weak channel firing alongside it. The layer ships observable (every decision is persisted and broadcast) but not yet authoritative (it cannot create an alert on its own by default) — a deliberate, stated posture, not a bug. The CII engine reports a genuine statistical distribution from 1,000 Monte Carlo iterations per call, including a backed_up_by redundancy model and — fixed this pass — real shares_provider correlated-failure sampling. Real capture IPs still don't intersect the curated 45-asset graph (0 of 20,000 resolve), so the city graph honestly renders two disconnected layers instead of inventing a connection; but the compact view now shows every real curated node, including the four gateways and the synthesized City_Grid node, which a bug had silently hidden until this pass. Architecturally: FastAPI + SQLAlchemy + Postgres backend, now with optional bearer-token auth and per-IP rate limiting on every mutating route; Next.js 16 + React 19 + react-force-graph-2d frontend; a single-threaded replay engine with fixed-anchor time pacing; and a WebSocket broadcaster with per-client bounded queues and oldest-drop backpressure.</w:t>
      </w:r>
    </w:p>
    <w:p>
      <w:pPr>
        <w:pStyle w:val="Heading1"/>
        <w:pBdr>
          <w:bottom w:val="single" w:color="B45309" w:sz="12" w:space="4"/>
        </w:pBdr>
        <w:spacing w:after="200" w:before="480"/>
      </w:pPr>
      <w:r>
        <w:rPr>
          <w:b/>
          <w:bCs/>
          <w:color w:val="B45309"/>
          <w:sz w:val="30"/>
          <w:szCs w:val="30"/>
        </w:rPr>
        <w:t xml:space="preserve">PART 2 — Problem Statement Audit</w:t>
      </w:r>
    </w:p>
    <w:p>
      <w:pPr>
        <w:spacing w:after="140" w:line="276"/>
      </w:pPr>
      <w:r>
        <w:t xml:space="preserve">The brief decomposes into six lines. Below is what each requires, what would and wouldn't satisfy it, and where AEGIS actually stands — audited, not assumed.</w:t>
      </w:r>
    </w:p>
    <w:tbl>
      <w:tblPr>
        <w:tblW w:type="pct" w:w="100%"/>
        <w:tblBorders>
          <w:top w:val="single" w:color="D8CBB0" w:sz="4"/>
          <w:left w:val="single" w:color="D8CBB0" w:sz="4"/>
          <w:bottom w:val="single" w:color="D8CBB0" w:sz="4"/>
          <w:right w:val="single" w:color="D8CBB0" w:sz="4"/>
          <w:insideH w:val="single" w:color="D8CBB0" w:sz="4"/>
          <w:insideV w:val="single" w:color="D8CBB0" w:sz="4"/>
        </w:tblBorders>
      </w:tblPr>
      <w:tblGrid>
        <w:gridCol w:w="100"/>
        <w:gridCol w:w="100"/>
        <w:gridCol w:w="100"/>
        <w:gridCol w:w="100"/>
      </w:tblGrid>
      <w:tr>
        <w:trPr>
          <w:tblHeader/>
        </w:trPr>
        <w:tc>
          <w:tcPr>
            <w:tcW w:type="pct" w:w="20%"/>
            <w:shd w:fill="1C1917" w:val="clear"/>
            <w:tcMar>
              <w:top w:type="dxa" w:w="100"/>
              <w:left w:type="dxa" w:w="120"/>
              <w:bottom w:type="dxa" w:w="100"/>
              <w:right w:type="dxa" w:w="120"/>
            </w:tcMar>
            <w:vAlign w:val="center"/>
          </w:tcPr>
          <w:p>
            <w:r>
              <w:rPr>
                <w:b/>
                <w:bCs/>
                <w:color w:val="FFFFFF"/>
                <w:sz w:val="19"/>
                <w:szCs w:val="19"/>
              </w:rPr>
              <w:t xml:space="preserve">Requirement</w:t>
            </w:r>
          </w:p>
        </w:tc>
        <w:tc>
          <w:tcPr>
            <w:tcW w:type="pct" w:w="22%"/>
            <w:shd w:fill="1C1917" w:val="clear"/>
            <w:tcMar>
              <w:top w:type="dxa" w:w="100"/>
              <w:left w:type="dxa" w:w="120"/>
              <w:bottom w:type="dxa" w:w="100"/>
              <w:right w:type="dxa" w:w="120"/>
            </w:tcMar>
            <w:vAlign w:val="center"/>
          </w:tcPr>
          <w:p>
            <w:r>
              <w:rPr>
                <w:b/>
                <w:bCs/>
                <w:color w:val="FFFFFF"/>
                <w:sz w:val="19"/>
                <w:szCs w:val="19"/>
              </w:rPr>
              <w:t xml:space="preserve">Component</w:t>
            </w:r>
          </w:p>
        </w:tc>
        <w:tc>
          <w:tcPr>
            <w:tcW w:type="pct" w:w="40%"/>
            <w:shd w:fill="1C1917" w:val="clear"/>
            <w:tcMar>
              <w:top w:type="dxa" w:w="100"/>
              <w:left w:type="dxa" w:w="120"/>
              <w:bottom w:type="dxa" w:w="100"/>
              <w:right w:type="dxa" w:w="120"/>
            </w:tcMar>
            <w:vAlign w:val="center"/>
          </w:tcPr>
          <w:p>
            <w:r>
              <w:rPr>
                <w:b/>
                <w:bCs/>
                <w:color w:val="FFFFFF"/>
                <w:sz w:val="19"/>
                <w:szCs w:val="19"/>
              </w:rPr>
              <w:t xml:space="preserve">How satisfied</w:t>
            </w:r>
          </w:p>
        </w:tc>
        <w:tc>
          <w:tcPr>
            <w:tcW w:type="pct" w:w="18%"/>
            <w:shd w:fill="1C1917" w:val="clear"/>
            <w:tcMar>
              <w:top w:type="dxa" w:w="100"/>
              <w:left w:type="dxa" w:w="120"/>
              <w:bottom w:type="dxa" w:w="100"/>
              <w:right w:type="dxa" w:w="120"/>
            </w:tcMar>
            <w:vAlign w:val="center"/>
          </w:tcPr>
          <w:p>
            <w:r>
              <w:rPr>
                <w:b/>
                <w:bCs/>
                <w:color w:val="FFFFFF"/>
                <w:sz w:val="19"/>
                <w:szCs w:val="19"/>
              </w:rPr>
              <w:t xml:space="preserve">Likely judge question</w:t>
            </w:r>
          </w:p>
        </w:tc>
      </w:tr>
      <w:tr>
        <w:tc>
          <w:tcPr>
            <w:tcW w:type="pct" w:w="20%"/>
            <w:tcMar>
              <w:top w:type="dxa" w:w="100"/>
              <w:left w:type="dxa" w:w="120"/>
              <w:bottom w:type="dxa" w:w="100"/>
              <w:right w:type="dxa" w:w="120"/>
            </w:tcMar>
            <w:vAlign w:val="center"/>
          </w:tcPr>
          <w:p>
            <w:r>
              <w:rPr>
                <w:sz w:val="20"/>
                <w:szCs w:val="20"/>
              </w:rPr>
              <w:t xml:space="preserve">Ingest structured/semi-structured data</w:t>
            </w:r>
          </w:p>
        </w:tc>
        <w:tc>
          <w:tcPr>
            <w:tcW w:type="pct" w:w="22%"/>
            <w:tcMar>
              <w:top w:type="dxa" w:w="100"/>
              <w:left w:type="dxa" w:w="120"/>
              <w:bottom w:type="dxa" w:w="100"/>
              <w:right w:type="dxa" w:w="120"/>
            </w:tcMar>
            <w:vAlign w:val="center"/>
          </w:tcPr>
          <w:p>
            <w:r>
              <w:rPr>
                <w:sz w:val="20"/>
                <w:szCs w:val="20"/>
              </w:rPr>
              <w:t xml:space="preserve">src/datasets/*, backend/replay_reader.py</w:t>
            </w:r>
          </w:p>
        </w:tc>
        <w:tc>
          <w:tcPr>
            <w:tcW w:type="pct" w:w="40%"/>
            <w:tcMar>
              <w:top w:type="dxa" w:w="100"/>
              <w:left w:type="dxa" w:w="120"/>
              <w:bottom w:type="dxa" w:w="100"/>
              <w:right w:type="dxa" w:w="120"/>
            </w:tcMar>
            <w:vAlign w:val="center"/>
          </w:tcPr>
          <w:p>
            <w:r>
              <w:rPr>
                <w:sz w:val="20"/>
                <w:szCs w:val="20"/>
              </w:rPr>
              <w:t xml:space="preserve">Three real datasets normalized into one 17-column canonical schema; a fourth path replays raw CIC-IDS2017 CSVs with real IPs/timestamps for the live console</w:t>
            </w:r>
          </w:p>
        </w:tc>
        <w:tc>
          <w:tcPr>
            <w:tcW w:type="pct" w:w="18%"/>
            <w:tcMar>
              <w:top w:type="dxa" w:w="100"/>
              <w:left w:type="dxa" w:w="120"/>
              <w:bottom w:type="dxa" w:w="100"/>
              <w:right w:type="dxa" w:w="120"/>
            </w:tcMar>
            <w:vAlign w:val="center"/>
          </w:tcPr>
          <w:p>
            <w:r>
              <w:rPr>
                <w:sz w:val="20"/>
                <w:szCs w:val="20"/>
              </w:rPr>
              <w:t xml:space="preserve">“Is any of your data synthetic?” — nuanced, not a flat no (Part 6)</w:t>
            </w:r>
          </w:p>
        </w:tc>
      </w:tr>
      <w:tr>
        <w:tc>
          <w:tcPr>
            <w:tcW w:type="pct" w:w="20%"/>
            <w:shd w:fill="F5F0E8" w:val="clear"/>
            <w:tcMar>
              <w:top w:type="dxa" w:w="100"/>
              <w:left w:type="dxa" w:w="120"/>
              <w:bottom w:type="dxa" w:w="100"/>
              <w:right w:type="dxa" w:w="120"/>
            </w:tcMar>
            <w:vAlign w:val="center"/>
          </w:tcPr>
          <w:p>
            <w:r>
              <w:rPr>
                <w:sz w:val="20"/>
                <w:szCs w:val="20"/>
              </w:rPr>
              <w:t xml:space="preserve">AI/ML anomaly detection</w:t>
            </w:r>
          </w:p>
        </w:tc>
        <w:tc>
          <w:tcPr>
            <w:tcW w:type="pct" w:w="22%"/>
            <w:shd w:fill="F5F0E8" w:val="clear"/>
            <w:tcMar>
              <w:top w:type="dxa" w:w="100"/>
              <w:left w:type="dxa" w:w="120"/>
              <w:bottom w:type="dxa" w:w="100"/>
              <w:right w:type="dxa" w:w="120"/>
            </w:tcMar>
            <w:vAlign w:val="center"/>
          </w:tcPr>
          <w:p>
            <w:r>
              <w:rPr>
                <w:sz w:val="20"/>
                <w:szCs w:val="20"/>
              </w:rPr>
              <w:t xml:space="preserve">ml_engine.py, streaming.py, supervised_detector.py, backend/detection/*</w:t>
            </w:r>
          </w:p>
        </w:tc>
        <w:tc>
          <w:tcPr>
            <w:tcW w:type="pct" w:w="40%"/>
            <w:shd w:fill="F5F0E8" w:val="clear"/>
            <w:tcMar>
              <w:top w:type="dxa" w:w="100"/>
              <w:left w:type="dxa" w:w="120"/>
              <w:bottom w:type="dxa" w:w="100"/>
              <w:right w:type="dxa" w:w="120"/>
            </w:tcMar>
            <w:vAlign w:val="center"/>
          </w:tcPr>
          <w:p>
            <w:r>
              <w:rPr>
                <w:b/>
                <w:bCs/>
                <w:sz w:val="20"/>
                <w:szCs w:val="20"/>
              </w:rPr>
              <w:t xml:space="preserve">Updated:</w:t>
            </w:r>
            <w:r>
              <w:rPr>
                <w:sz w:val="20"/>
                <w:szCs w:val="20"/>
              </w:rPr>
              <w:t xml:space="preserve"> five detectors now feed one fusion decision — Isolation Forest, Random Forest, honeytoken tripwire, a signature-rule engine, and a temporal beaconing detector. See below for exactly which ones gate a real alert.</w:t>
            </w:r>
          </w:p>
        </w:tc>
        <w:tc>
          <w:tcPr>
            <w:tcW w:type="pct" w:w="18%"/>
            <w:shd w:fill="F5F0E8" w:val="clear"/>
            <w:tcMar>
              <w:top w:type="dxa" w:w="100"/>
              <w:left w:type="dxa" w:w="120"/>
              <w:bottom w:type="dxa" w:w="100"/>
              <w:right w:type="dxa" w:w="120"/>
            </w:tcMar>
            <w:vAlign w:val="center"/>
          </w:tcPr>
          <w:p>
            <w:r>
              <w:rPr>
                <w:sz w:val="20"/>
                <w:szCs w:val="20"/>
              </w:rPr>
              <w:t xml:space="preserve">“Do all five run live together?” — yes, all five score every flow; only three can currently create an alert (Part 7)</w:t>
            </w:r>
          </w:p>
        </w:tc>
      </w:tr>
      <w:tr>
        <w:tc>
          <w:tcPr>
            <w:tcW w:type="pct" w:w="20%"/>
            <w:tcMar>
              <w:top w:type="dxa" w:w="100"/>
              <w:left w:type="dxa" w:w="120"/>
              <w:bottom w:type="dxa" w:w="100"/>
              <w:right w:type="dxa" w:w="120"/>
            </w:tcMar>
            <w:vAlign w:val="center"/>
          </w:tcPr>
          <w:p>
            <w:r>
              <w:rPr>
                <w:sz w:val="20"/>
                <w:szCs w:val="20"/>
              </w:rPr>
              <w:t xml:space="preserve">Actionable insights: scores, alerts, dashboards</w:t>
            </w:r>
          </w:p>
        </w:tc>
        <w:tc>
          <w:tcPr>
            <w:tcW w:type="pct" w:w="22%"/>
            <w:tcMar>
              <w:top w:type="dxa" w:w="100"/>
              <w:left w:type="dxa" w:w="120"/>
              <w:bottom w:type="dxa" w:w="100"/>
              <w:right w:type="dxa" w:w="120"/>
            </w:tcMar>
            <w:vAlign w:val="center"/>
          </w:tcPr>
          <w:p>
            <w:r>
              <w:rPr>
                <w:sz w:val="20"/>
                <w:szCs w:val="20"/>
              </w:rPr>
              <w:t xml:space="preserve">ingest.py alert policy; GET /api/stats; Next.js console</w:t>
            </w:r>
          </w:p>
        </w:tc>
        <w:tc>
          <w:tcPr>
            <w:tcW w:type="pct" w:w="40%"/>
            <w:tcMar>
              <w:top w:type="dxa" w:w="100"/>
              <w:left w:type="dxa" w:w="120"/>
              <w:bottom w:type="dxa" w:w="100"/>
              <w:right w:type="dxa" w:w="120"/>
            </w:tcMar>
            <w:vAlign w:val="center"/>
          </w:tcPr>
          <w:p>
            <w:r>
              <w:rPr>
                <w:sz w:val="20"/>
                <w:szCs w:val="20"/>
              </w:rPr>
              <w:t xml:space="preserve">Persisted alerts with plain-language explanation, acknowledge flow, documented risk-index formula, live city-graph dashboard now showing all 50 real nodes</w:t>
            </w:r>
          </w:p>
        </w:tc>
        <w:tc>
          <w:tcPr>
            <w:tcW w:type="pct" w:w="18%"/>
            <w:tcMar>
              <w:top w:type="dxa" w:w="100"/>
              <w:left w:type="dxa" w:w="120"/>
              <w:bottom w:type="dxa" w:w="100"/>
              <w:right w:type="dxa" w:w="120"/>
            </w:tcMar>
            <w:vAlign w:val="center"/>
          </w:tcPr>
          <w:p>
            <w:r>
              <w:rPr>
                <w:sz w:val="20"/>
                <w:szCs w:val="20"/>
              </w:rPr>
              <w:t xml:space="preserve">“What exactly is in the risk number?” (Part 8)</w:t>
            </w:r>
          </w:p>
        </w:tc>
      </w:tr>
      <w:tr>
        <w:tc>
          <w:tcPr>
            <w:tcW w:type="pct" w:w="20%"/>
            <w:shd w:fill="F5F0E8" w:val="clear"/>
            <w:tcMar>
              <w:top w:type="dxa" w:w="100"/>
              <w:left w:type="dxa" w:w="120"/>
              <w:bottom w:type="dxa" w:w="100"/>
              <w:right w:type="dxa" w:w="120"/>
            </w:tcMar>
            <w:vAlign w:val="center"/>
          </w:tcPr>
          <w:p>
            <w:r>
              <w:rPr>
                <w:sz w:val="20"/>
                <w:szCs w:val="20"/>
              </w:rPr>
              <w:t xml:space="preserve">Scalability for real-world environments</w:t>
            </w:r>
          </w:p>
        </w:tc>
        <w:tc>
          <w:tcPr>
            <w:tcW w:type="pct" w:w="22%"/>
            <w:shd w:fill="F5F0E8" w:val="clear"/>
            <w:tcMar>
              <w:top w:type="dxa" w:w="100"/>
              <w:left w:type="dxa" w:w="120"/>
              <w:bottom w:type="dxa" w:w="100"/>
              <w:right w:type="dxa" w:w="120"/>
            </w:tcMar>
            <w:vAlign w:val="center"/>
          </w:tcPr>
          <w:p>
            <w:r>
              <w:rPr>
                <w:sz w:val="20"/>
                <w:szCs w:val="20"/>
              </w:rPr>
              <w:t xml:space="preserve">N/A</w:t>
            </w:r>
          </w:p>
        </w:tc>
        <w:tc>
          <w:tcPr>
            <w:tcW w:type="pct" w:w="40%"/>
            <w:shd w:fill="F5F0E8" w:val="clear"/>
            <w:tcMar>
              <w:top w:type="dxa" w:w="100"/>
              <w:left w:type="dxa" w:w="120"/>
              <w:bottom w:type="dxa" w:w="100"/>
              <w:right w:type="dxa" w:w="120"/>
            </w:tcMar>
            <w:vAlign w:val="center"/>
          </w:tcPr>
          <w:p>
            <w:r>
              <w:rPr>
                <w:sz w:val="20"/>
                <w:szCs w:val="20"/>
              </w:rPr>
              <w:t xml:space="preserve">Single-node, single-city, no measured load ceiling, no multi-tenant story (explicitly cut for time) — unchanged this pass</w:t>
            </w:r>
          </w:p>
        </w:tc>
        <w:tc>
          <w:tcPr>
            <w:tcW w:type="pct" w:w="18%"/>
            <w:shd w:fill="F5F0E8" w:val="clear"/>
            <w:tcMar>
              <w:top w:type="dxa" w:w="100"/>
              <w:left w:type="dxa" w:w="120"/>
              <w:bottom w:type="dxa" w:w="100"/>
              <w:right w:type="dxa" w:w="120"/>
            </w:tcMar>
            <w:vAlign w:val="center"/>
          </w:tcPr>
          <w:p>
            <w:r>
              <w:rPr>
                <w:sz w:val="20"/>
                <w:szCs w:val="20"/>
              </w:rPr>
              <w:t xml:space="preserve">“What happens at 100,000 users?” — theoretical only (Part 12)</w:t>
            </w:r>
          </w:p>
        </w:tc>
      </w:tr>
      <w:tr>
        <w:tc>
          <w:tcPr>
            <w:tcW w:type="pct" w:w="20%"/>
            <w:tcMar>
              <w:top w:type="dxa" w:w="100"/>
              <w:left w:type="dxa" w:w="120"/>
              <w:bottom w:type="dxa" w:w="100"/>
              <w:right w:type="dxa" w:w="120"/>
            </w:tcMar>
            <w:vAlign w:val="center"/>
          </w:tcPr>
          <w:p>
            <w:r>
              <w:rPr>
                <w:sz w:val="20"/>
                <w:szCs w:val="20"/>
              </w:rPr>
              <w:t xml:space="preserve">Explainability</w:t>
            </w:r>
          </w:p>
        </w:tc>
        <w:tc>
          <w:tcPr>
            <w:tcW w:type="pct" w:w="22%"/>
            <w:tcMar>
              <w:top w:type="dxa" w:w="100"/>
              <w:left w:type="dxa" w:w="120"/>
              <w:bottom w:type="dxa" w:w="100"/>
              <w:right w:type="dxa" w:w="120"/>
            </w:tcMar>
            <w:vAlign w:val="center"/>
          </w:tcPr>
          <w:p>
            <w:r>
              <w:rPr>
                <w:sz w:val="20"/>
                <w:szCs w:val="20"/>
              </w:rPr>
              <w:t xml:space="preserve">alert.explanation JSONB; honeytoken construction; CII hop_details; </w:t>
            </w:r>
            <w:r>
              <w:rPr>
                <w:b/>
                <w:bCs/>
                <w:sz w:val="20"/>
                <w:szCs w:val="20"/>
              </w:rPr>
              <w:t xml:space="preserve">new: fused-decision rationale + per-detector verdict breakdown</w:t>
            </w:r>
          </w:p>
        </w:tc>
        <w:tc>
          <w:tcPr>
            <w:tcW w:type="pct" w:w="40%"/>
            <w:tcMar>
              <w:top w:type="dxa" w:w="100"/>
              <w:left w:type="dxa" w:w="120"/>
              <w:bottom w:type="dxa" w:w="100"/>
              <w:right w:type="dxa" w:w="120"/>
            </w:tcMar>
            <w:vAlign w:val="center"/>
          </w:tcPr>
          <w:p>
            <w:r>
              <w:rPr>
                <w:sz w:val="20"/>
                <w:szCs w:val="20"/>
              </w:rPr>
              <w:t xml:space="preserve">Tripwire alerts unambiguous by construction; CII gives per-asset compromise frequency and mean hop; a hybrid-gated alert's explanation now carries every contributing detector's own evidence, not just a score</w:t>
            </w:r>
          </w:p>
        </w:tc>
        <w:tc>
          <w:tcPr>
            <w:tcW w:type="pct" w:w="18%"/>
            <w:tcMar>
              <w:top w:type="dxa" w:w="100"/>
              <w:left w:type="dxa" w:w="120"/>
              <w:bottom w:type="dxa" w:w="100"/>
              <w:right w:type="dxa" w:w="120"/>
            </w:tcMar>
            <w:vAlign w:val="center"/>
          </w:tcPr>
          <w:p>
            <w:r>
              <w:rPr>
                <w:sz w:val="20"/>
                <w:szCs w:val="20"/>
              </w:rPr>
              <w:t xml:space="preserve">“Can the Isolation Forest explain a score?” — no, but the fused decision's rationale can name which detectors drove it (Part 7)</w:t>
            </w:r>
          </w:p>
        </w:tc>
      </w:tr>
      <w:tr>
        <w:tc>
          <w:tcPr>
            <w:tcW w:type="pct" w:w="20%"/>
            <w:shd w:fill="F5F0E8" w:val="clear"/>
            <w:tcMar>
              <w:top w:type="dxa" w:w="100"/>
              <w:left w:type="dxa" w:w="120"/>
              <w:bottom w:type="dxa" w:w="100"/>
              <w:right w:type="dxa" w:w="120"/>
            </w:tcMar>
            <w:vAlign w:val="center"/>
          </w:tcPr>
          <w:p>
            <w:r>
              <w:rPr>
                <w:sz w:val="20"/>
                <w:szCs w:val="20"/>
              </w:rPr>
              <w:t xml:space="preserve">SDG 9 / 11 alignment</w:t>
            </w:r>
          </w:p>
        </w:tc>
        <w:tc>
          <w:tcPr>
            <w:tcW w:type="pct" w:w="22%"/>
            <w:shd w:fill="F5F0E8" w:val="clear"/>
            <w:tcMar>
              <w:top w:type="dxa" w:w="100"/>
              <w:left w:type="dxa" w:w="120"/>
              <w:bottom w:type="dxa" w:w="100"/>
              <w:right w:type="dxa" w:w="120"/>
            </w:tcMar>
            <w:vAlign w:val="center"/>
          </w:tcPr>
          <w:p>
            <w:r>
              <w:rPr>
                <w:sz w:val="20"/>
                <w:szCs w:val="20"/>
              </w:rPr>
              <w:t xml:space="preserve">README.md</w:t>
            </w:r>
          </w:p>
        </w:tc>
        <w:tc>
          <w:tcPr>
            <w:tcW w:type="pct" w:w="40%"/>
            <w:shd w:fill="F5F0E8" w:val="clear"/>
            <w:tcMar>
              <w:top w:type="dxa" w:w="100"/>
              <w:left w:type="dxa" w:w="120"/>
              <w:bottom w:type="dxa" w:w="100"/>
              <w:right w:type="dxa" w:w="120"/>
            </w:tcMar>
            <w:vAlign w:val="center"/>
          </w:tcPr>
          <w:p>
            <w:r>
              <w:rPr>
                <w:sz w:val="20"/>
                <w:szCs w:val="20"/>
              </w:rPr>
              <w:t xml:space="preserve">SDG 9 from the cascading-dependency model and Purdue segmentation; SDG 11 from the assets modeled — unchanged this pass</w:t>
            </w:r>
          </w:p>
        </w:tc>
        <w:tc>
          <w:tcPr>
            <w:tcW w:type="pct" w:w="18%"/>
            <w:shd w:fill="F5F0E8" w:val="clear"/>
            <w:tcMar>
              <w:top w:type="dxa" w:w="100"/>
              <w:left w:type="dxa" w:w="120"/>
              <w:bottom w:type="dxa" w:w="100"/>
              <w:right w:type="dxa" w:w="120"/>
            </w:tcMar>
            <w:vAlign w:val="center"/>
          </w:tcPr>
          <w:p>
            <w:r>
              <w:rPr>
                <w:sz w:val="20"/>
                <w:szCs w:val="20"/>
              </w:rPr>
              <w:t xml:space="preserve">“What SDG target number?” — not cited, only the SDG number</w:t>
            </w:r>
          </w:p>
        </w:tc>
      </w:tr>
    </w:tbl>
    <w:p>
      <w:pPr>
        <w:pStyle w:val="Heading2"/>
        <w:spacing w:after="120" w:before="320"/>
      </w:pPr>
      <w:r>
        <w:rPr>
          <w:b/>
          <w:bCs/>
          <w:sz w:val="24"/>
          <w:szCs w:val="24"/>
        </w:rPr>
        <w:t xml:space="preserve">Hidden requirements and ambiguous wording a judge could challenge</w:t>
      </w:r>
    </w:p>
    <w:p>
      <w:pPr>
        <w:pStyle w:val="ListParagraph"/>
        <w:numPr>
          <w:ilvl w:val="0"/>
          <w:numId w:val="1"/>
        </w:numPr>
        <w:spacing w:after="80" w:line="264"/>
      </w:pPr>
      <w:r>
        <w:t xml:space="preserve">“Scalability” is graded but never defined — the brief gives no throughput target. AEGIS's own docs treat this as a known, named gap rather than claiming compliance; keep that posture in the room.</w:t>
      </w:r>
    </w:p>
    <w:p>
      <w:pPr>
        <w:pStyle w:val="ListParagraph"/>
        <w:numPr>
          <w:ilvl w:val="0"/>
          <w:numId w:val="1"/>
        </w:numPr>
        <w:spacing w:after="80" w:line="264"/>
      </w:pPr>
      <w:r>
        <w:t xml:space="preserve">“AI/ML anomaly detection” is singular in the brief; AEGIS answers with </w:t>
      </w:r>
      <w:r>
        <w:rPr>
          <w:b/>
          <w:bCs/>
        </w:rPr>
        <w:t xml:space="preserve">five</w:t>
      </w:r>
      <w:r>
        <w:t xml:space="preserve"> channels now, not three — know exactly which three can page an operator today (tripwire always; volumetric and hybrid both policy-gated and, for hybrid, off by default) and which two (supervised, and the hybrid layer's own authority) currently cannot.</w:t>
      </w:r>
    </w:p>
    <w:p>
      <w:pPr>
        <w:pStyle w:val="ListParagraph"/>
        <w:numPr>
          <w:ilvl w:val="0"/>
          <w:numId w:val="1"/>
        </w:numPr>
        <w:spacing w:after="80" w:line="264"/>
      </w:pPr>
      <w:r>
        <w:t xml:space="preserve">“Explainability” could mean interpretable model internals or an operator-facing “why did you alert.” AEGIS satisfies the second, not the first — don't let the word do more work than the system does.</w:t>
      </w:r>
    </w:p>
    <w:p>
      <w:pPr>
        <w:pStyle w:val="Heading1"/>
        <w:pBdr>
          <w:bottom w:val="single" w:color="B45309" w:sz="12" w:space="4"/>
        </w:pBdr>
        <w:spacing w:after="200" w:before="480"/>
      </w:pPr>
      <w:r>
        <w:rPr>
          <w:b/>
          <w:bCs/>
          <w:color w:val="B45309"/>
          <w:sz w:val="30"/>
          <w:szCs w:val="30"/>
        </w:rPr>
        <w:t xml:space="preserve">PART 3 — PRD Audit</w:t>
      </w:r>
    </w:p>
    <w:p>
      <w:pPr>
        <w:spacing w:after="140" w:line="276"/>
      </w:pPr>
      <w:r>
        <w:rPr>
          <w:b/>
          <w:bCs/>
          <w:color w:val="0369A1"/>
          <w:sz w:val="19"/>
          <w:szCs w:val="19"/>
        </w:rPr>
        <w:t xml:space="preserve">[INFERRED] </w:t>
      </w:r>
      <w:r>
        <w:t xml:space="preserve">There is no document literally named a PRD. PLAN_MASTER.md functions as one — the authoritative plan, architecture-decision log, and phase history (README.md “Documentation” table). This section audits it as such.</w:t>
      </w:r>
    </w:p>
    <w:p>
      <w:pPr>
        <w:pStyle w:val="Heading2"/>
        <w:spacing w:after="120" w:before="320"/>
      </w:pPr>
      <w:r>
        <w:rPr>
          <w:b/>
          <w:bCs/>
          <w:sz w:val="24"/>
          <w:szCs w:val="24"/>
        </w:rPr>
        <w:t xml:space="preserve">Functional requirements (explicitly stated)</w:t>
      </w:r>
    </w:p>
    <w:p>
      <w:pPr>
        <w:pStyle w:val="ListParagraph"/>
        <w:numPr>
          <w:ilvl w:val="0"/>
          <w:numId w:val="1"/>
        </w:numPr>
        <w:spacing w:after="80" w:line="264"/>
      </w:pPr>
      <w:r>
        <w:t xml:space="preserve">Ingest ≥ 3 real datasets through one canonical schema (PLAN_MASTER.md C4/C1)</w:t>
      </w:r>
    </w:p>
    <w:p>
      <w:pPr>
        <w:pStyle w:val="ListParagraph"/>
        <w:numPr>
          <w:ilvl w:val="0"/>
          <w:numId w:val="1"/>
        </w:numPr>
        <w:spacing w:after="80" w:line="264"/>
      </w:pPr>
      <w:r>
        <w:t xml:space="preserve">Unsupervised anomaly detection over volumetric features (PLAN_MASTER.md Executive Summary)</w:t>
      </w:r>
    </w:p>
    <w:p>
      <w:pPr>
        <w:pStyle w:val="ListParagraph"/>
        <w:numPr>
          <w:ilvl w:val="0"/>
          <w:numId w:val="1"/>
        </w:numPr>
        <w:spacing w:after="80" w:line="264"/>
      </w:pPr>
      <w:r>
        <w:t xml:space="preserve">“A gateway hit alone produces a blast-radius number before any exfiltration data exists” (PLAN_MASTER.md Phase 2 Done-when)</w:t>
      </w:r>
    </w:p>
    <w:p>
      <w:pPr>
        <w:pStyle w:val="ListParagraph"/>
        <w:numPr>
          <w:ilvl w:val="0"/>
          <w:numId w:val="1"/>
        </w:numPr>
        <w:spacing w:after="80" w:line="264"/>
      </w:pPr>
      <w:r>
        <w:t xml:space="preserve">“An anomaly produces a persisted alert with blast radius and a human-readable 'why'” (PLAN_MASTER.md Definition of Done, Phase 5)</w:t>
      </w:r>
    </w:p>
    <w:p>
      <w:pPr>
        <w:pStyle w:val="ListParagraph"/>
        <w:numPr>
          <w:ilvl w:val="0"/>
          <w:numId w:val="1"/>
        </w:numPr>
        <w:spacing w:after="80" w:line="264"/>
      </w:pPr>
      <w:r>
        <w:t xml:space="preserve">Attack injection works on demand, tripwire fires before exfil (docs/PHASE5_BUILD_PLAN.md §12)</w:t>
      </w:r>
    </w:p>
    <w:p>
      <w:pPr>
        <w:pStyle w:val="ListParagraph"/>
        <w:numPr>
          <w:ilvl w:val="0"/>
          <w:numId w:val="1"/>
        </w:numPr>
        <w:spacing w:after="80" w:line="264"/>
      </w:pPr>
      <w:r>
        <w:t xml:space="preserve">Live feed and live graph “with zero page refresh” (docs/PHASE5_BUILD_PLAN.md §12)</w:t>
      </w:r>
    </w:p>
    <w:p>
      <w:pPr>
        <w:pStyle w:val="Heading2"/>
        <w:spacing w:after="120" w:before="320"/>
      </w:pPr>
      <w:r>
        <w:rPr>
          <w:b/>
          <w:bCs/>
          <w:sz w:val="24"/>
          <w:szCs w:val="24"/>
        </w:rPr>
        <w:t xml:space="preserve">Non-functional requirements — the sharpest ones are about honesty, not performance</w:t>
      </w:r>
    </w:p>
    <w:p>
      <w:pPr>
        <w:pStyle w:val="ListParagraph"/>
        <w:numPr>
          <w:ilvl w:val="0"/>
          <w:numId w:val="1"/>
        </w:numPr>
        <w:spacing w:after="80" w:line="264"/>
      </w:pPr>
      <w:r>
        <w:t xml:space="preserve">“No fabricated data anywhere in the UI” (PLAN_MASTER.md §6)</w:t>
      </w:r>
    </w:p>
    <w:p>
      <w:pPr>
        <w:pStyle w:val="ListParagraph"/>
        <w:numPr>
          <w:ilvl w:val="0"/>
          <w:numId w:val="1"/>
        </w:numPr>
        <w:spacing w:after="80" w:line="264"/>
      </w:pPr>
      <w:r>
        <w:t xml:space="preserve">“Tests skip loudly when data is missing; a green run with skips is never reported as full coverage” (PLAN_MASTER.md §6)</w:t>
      </w:r>
    </w:p>
    <w:p>
      <w:pPr>
        <w:pStyle w:val="ListParagraph"/>
        <w:numPr>
          <w:ilvl w:val="0"/>
          <w:numId w:val="1"/>
        </w:numPr>
        <w:spacing w:after="80" w:line="264"/>
      </w:pPr>
      <w:r>
        <w:t xml:space="preserve">“Every published number is reproducible from a committed config” (PLAN_MASTER.md Phase 3 Done-when) — the signature-engine firing-rate numbers in this edition were re-measured live against the same real dataset, not carried forward, in keeping with this bar.</w:t>
      </w:r>
    </w:p>
    <w:p>
      <w:pPr>
        <w:spacing w:after="140" w:line="276"/>
      </w:pPr>
      <w:r>
        <w:t xml:space="preserve">This matters for your framing: the PRD's own bar is reproducibility and honesty, not maximum accuracy. If a judge attacks a weak metric, point at this stated bar and show you cleared it.</w:t>
      </w:r>
    </w:p>
    <w:p>
      <w:pPr>
        <w:pStyle w:val="Heading2"/>
        <w:spacing w:after="120" w:before="320"/>
      </w:pPr>
      <w:r>
        <w:rPr>
          <w:b/>
          <w:bCs/>
          <w:sz w:val="24"/>
          <w:szCs w:val="24"/>
        </w:rPr>
        <w:t xml:space="preserve">Security requirement</w:t>
      </w:r>
    </w:p>
    <w:p>
      <w:pPr>
        <w:spacing w:after="140" w:line="276"/>
      </w:pPr>
      <w:r>
        <w:t xml:space="preserve">docs/SETUP.md previously stated the backend had no authentication at all. </w:t>
      </w:r>
      <w:r>
        <w:rPr>
          <w:b/>
          <w:bCs/>
        </w:rPr>
        <w:t xml:space="preserve">Updated:</w:t>
      </w:r>
      <w:r>
        <w:t xml:space="preserve"> an optional bearer-token dependency and per-IP rate limiter now gate every state-changing route (backend/security.py), off by default. The loopback-binding default posture is unchanged — auth is an additive hardening step for a shared-machine or networked demo, not a claim of production-grade security. Say exactly that if asked (Part 11 has the full audit).</w:t>
      </w:r>
    </w:p>
    <w:p>
      <w:pPr>
        <w:pStyle w:val="Heading2"/>
        <w:spacing w:after="120" w:before="320"/>
      </w:pPr>
      <w:r>
        <w:rPr>
          <w:b/>
          <w:bCs/>
          <w:sz w:val="24"/>
          <w:szCs w:val="24"/>
        </w:rPr>
        <w:t xml:space="preserve">PRD-to-implementation mismatches found</w:t>
      </w:r>
    </w:p>
    <w:tbl>
      <w:tblPr>
        <w:tblW w:type="pct" w:w="100%"/>
        <w:tblBorders>
          <w:top w:val="single" w:color="D8CBB0" w:sz="4"/>
          <w:left w:val="single" w:color="D8CBB0" w:sz="4"/>
          <w:bottom w:val="single" w:color="D8CBB0" w:sz="4"/>
          <w:right w:val="single" w:color="D8CBB0" w:sz="4"/>
          <w:insideH w:val="single" w:color="D8CBB0" w:sz="4"/>
          <w:insideV w:val="single" w:color="D8CBB0" w:sz="4"/>
        </w:tblBorders>
      </w:tblPr>
      <w:tblGrid>
        <w:gridCol w:w="100"/>
        <w:gridCol w:w="100"/>
        <w:gridCol w:w="100"/>
      </w:tblGrid>
      <w:tr>
        <w:trPr>
          <w:tblHeader/>
        </w:trPr>
        <w:tc>
          <w:tcPr>
            <w:tcW w:type="pct" w:w="34%"/>
            <w:shd w:fill="1C1917" w:val="clear"/>
            <w:tcMar>
              <w:top w:type="dxa" w:w="100"/>
              <w:left w:type="dxa" w:w="120"/>
              <w:bottom w:type="dxa" w:w="100"/>
              <w:right w:type="dxa" w:w="120"/>
            </w:tcMar>
            <w:vAlign w:val="center"/>
          </w:tcPr>
          <w:p>
            <w:r>
              <w:rPr>
                <w:b/>
                <w:bCs/>
                <w:color w:val="FFFFFF"/>
                <w:sz w:val="19"/>
                <w:szCs w:val="19"/>
              </w:rPr>
              <w:t xml:space="preserve">PRD assumption</w:t>
            </w:r>
          </w:p>
        </w:tc>
        <w:tc>
          <w:tcPr>
            <w:tcW w:type="pct" w:w="44%"/>
            <w:shd w:fill="1C1917" w:val="clear"/>
            <w:tcMar>
              <w:top w:type="dxa" w:w="100"/>
              <w:left w:type="dxa" w:w="120"/>
              <w:bottom w:type="dxa" w:w="100"/>
              <w:right w:type="dxa" w:w="120"/>
            </w:tcMar>
            <w:vAlign w:val="center"/>
          </w:tcPr>
          <w:p>
            <w:r>
              <w:rPr>
                <w:b/>
                <w:bCs/>
                <w:color w:val="FFFFFF"/>
                <w:sz w:val="19"/>
                <w:szCs w:val="19"/>
              </w:rPr>
              <w:t xml:space="preserve">What's actually true</w:t>
            </w:r>
          </w:p>
        </w:tc>
        <w:tc>
          <w:tcPr>
            <w:tcW w:type="pct" w:w="22%"/>
            <w:shd w:fill="1C1917" w:val="clear"/>
            <w:tcMar>
              <w:top w:type="dxa" w:w="100"/>
              <w:left w:type="dxa" w:w="120"/>
              <w:bottom w:type="dxa" w:w="100"/>
              <w:right w:type="dxa" w:w="120"/>
            </w:tcMar>
            <w:vAlign w:val="center"/>
          </w:tcPr>
          <w:p>
            <w:r>
              <w:rPr>
                <w:b/>
                <w:bCs/>
                <w:color w:val="FFFFFF"/>
                <w:sz w:val="19"/>
                <w:szCs w:val="19"/>
              </w:rPr>
              <w:t xml:space="preserve">Source</w:t>
            </w:r>
          </w:p>
        </w:tc>
      </w:tr>
      <w:tr>
        <w:tc>
          <w:tcPr>
            <w:tcW w:type="pct" w:w="34%"/>
            <w:tcMar>
              <w:top w:type="dxa" w:w="100"/>
              <w:left w:type="dxa" w:w="120"/>
              <w:bottom w:type="dxa" w:w="100"/>
              <w:right w:type="dxa" w:w="120"/>
            </w:tcMar>
            <w:vAlign w:val="center"/>
          </w:tcPr>
          <w:p>
            <w:r>
              <w:rPr>
                <w:sz w:val="20"/>
                <w:szCs w:val="20"/>
              </w:rPr>
              <w:t xml:space="preserve">“Real IPs map onto those [curated assets] via AssetRegistry.resolve()”</w:t>
            </w:r>
          </w:p>
        </w:tc>
        <w:tc>
          <w:tcPr>
            <w:tcW w:type="pct" w:w="44%"/>
            <w:tcMar>
              <w:top w:type="dxa" w:w="100"/>
              <w:left w:type="dxa" w:w="120"/>
              <w:bottom w:type="dxa" w:w="100"/>
              <w:right w:type="dxa" w:w="120"/>
            </w:tcMar>
            <w:vAlign w:val="center"/>
          </w:tcPr>
          <w:p>
            <w:r>
              <w:rPr>
                <w:sz w:val="20"/>
                <w:szCs w:val="20"/>
              </w:rPr>
              <w:t xml:space="preserve">Measured: 0 of 20,000 real source IPs resolve to a dependency-graph asset — unchanged this pass. The project's own K8 finding calls this out.</w:t>
            </w:r>
          </w:p>
        </w:tc>
        <w:tc>
          <w:tcPr>
            <w:tcW w:type="pct" w:w="22%"/>
            <w:tcMar>
              <w:top w:type="dxa" w:w="100"/>
              <w:left w:type="dxa" w:w="120"/>
              <w:bottom w:type="dxa" w:w="100"/>
              <w:right w:type="dxa" w:w="120"/>
            </w:tcMar>
            <w:vAlign w:val="center"/>
          </w:tcPr>
          <w:p>
            <w:r>
              <w:rPr>
                <w:sz w:val="20"/>
                <w:szCs w:val="20"/>
              </w:rPr>
              <w:t xml:space="preserve">docs/PHASE5_STATE.md K8</w:t>
            </w:r>
          </w:p>
        </w:tc>
      </w:tr>
      <w:tr>
        <w:tc>
          <w:tcPr>
            <w:tcW w:type="pct" w:w="34%"/>
            <w:shd w:fill="F5F0E8" w:val="clear"/>
            <w:tcMar>
              <w:top w:type="dxa" w:w="100"/>
              <w:left w:type="dxa" w:w="120"/>
              <w:bottom w:type="dxa" w:w="100"/>
              <w:right w:type="dxa" w:w="120"/>
            </w:tcMar>
            <w:vAlign w:val="center"/>
          </w:tcPr>
          <w:p>
            <w:r>
              <w:rPr>
                <w:sz w:val="20"/>
                <w:szCs w:val="20"/>
              </w:rPr>
              <w:t xml:space="preserve">Canonical schema referred to as 14 columns (v1.0) in several older docs</w:t>
            </w:r>
          </w:p>
        </w:tc>
        <w:tc>
          <w:tcPr>
            <w:tcW w:type="pct" w:w="44%"/>
            <w:shd w:fill="F5F0E8" w:val="clear"/>
            <w:tcMar>
              <w:top w:type="dxa" w:w="100"/>
              <w:left w:type="dxa" w:w="120"/>
              <w:bottom w:type="dxa" w:w="100"/>
              <w:right w:type="dxa" w:w="120"/>
            </w:tcMar>
            <w:vAlign w:val="center"/>
          </w:tcPr>
          <w:p>
            <w:r>
              <w:rPr>
                <w:sz w:val="20"/>
                <w:szCs w:val="20"/>
              </w:rPr>
              <w:t xml:space="preserve">Current schema.py is v2.0 with 17 columns — unchanged this pass</w:t>
            </w:r>
          </w:p>
        </w:tc>
        <w:tc>
          <w:tcPr>
            <w:tcW w:type="pct" w:w="22%"/>
            <w:shd w:fill="F5F0E8" w:val="clear"/>
            <w:tcMar>
              <w:top w:type="dxa" w:w="100"/>
              <w:left w:type="dxa" w:w="120"/>
              <w:bottom w:type="dxa" w:w="100"/>
              <w:right w:type="dxa" w:w="120"/>
            </w:tcMar>
            <w:vAlign w:val="center"/>
          </w:tcPr>
          <w:p>
            <w:r>
              <w:rPr>
                <w:sz w:val="20"/>
                <w:szCs w:val="20"/>
              </w:rPr>
              <w:t xml:space="preserve">schema.py:9-12, 66-84</w:t>
            </w:r>
          </w:p>
        </w:tc>
      </w:tr>
      <w:tr>
        <w:tc>
          <w:tcPr>
            <w:tcW w:type="pct" w:w="34%"/>
            <w:tcMar>
              <w:top w:type="dxa" w:w="100"/>
              <w:left w:type="dxa" w:w="120"/>
              <w:bottom w:type="dxa" w:w="100"/>
              <w:right w:type="dxa" w:w="120"/>
            </w:tcMar>
            <w:vAlign w:val="center"/>
          </w:tcPr>
          <w:p>
            <w:r>
              <w:rPr>
                <w:sz w:val="20"/>
                <w:szCs w:val="20"/>
              </w:rPr>
              <w:t xml:space="preserve">“All four scripted attacks show a positive lead time” framed as clean 4/4 evidence</w:t>
            </w:r>
          </w:p>
        </w:tc>
        <w:tc>
          <w:tcPr>
            <w:tcW w:type="pct" w:w="44%"/>
            <w:tcMar>
              <w:top w:type="dxa" w:w="100"/>
              <w:left w:type="dxa" w:w="120"/>
              <w:bottom w:type="dxa" w:w="100"/>
              <w:right w:type="dxa" w:w="120"/>
            </w:tcMar>
            <w:vAlign w:val="center"/>
          </w:tcPr>
          <w:p>
            <w:r>
              <w:rPr>
                <w:sz w:val="20"/>
                <w:szCs w:val="20"/>
              </w:rPr>
              <w:t xml:space="preserve">Still true (58.4s mean, verified live again this pass) — </w:t>
            </w:r>
            <w:r>
              <w:rPr>
                <w:b/>
                <w:bCs/>
                <w:sz w:val="20"/>
                <w:szCs w:val="20"/>
              </w:rPr>
              <w:t xml:space="preserve">and</w:t>
            </w:r>
            <w:r>
              <w:rPr>
                <w:sz w:val="20"/>
                <w:szCs w:val="20"/>
              </w:rPr>
              <w:t xml:space="preserve"> a 2026-09-02 re-investigation (carried into this edition) found the apparent “gap” in gateway coverage for two of the four attacks is a deliberately engineered fallback path, not a hole. See Part 17.</w:t>
            </w:r>
          </w:p>
        </w:tc>
        <w:tc>
          <w:tcPr>
            <w:tcW w:type="pct" w:w="22%"/>
            <w:tcMar>
              <w:top w:type="dxa" w:w="100"/>
              <w:left w:type="dxa" w:w="120"/>
              <w:bottom w:type="dxa" w:w="100"/>
              <w:right w:type="dxa" w:w="120"/>
            </w:tcMar>
            <w:vAlign w:val="center"/>
          </w:tcPr>
          <w:p>
            <w:r>
              <w:rPr>
                <w:sz w:val="20"/>
                <w:szCs w:val="20"/>
              </w:rPr>
              <w:t xml:space="preserve">PHASE5_STATE.md K4, addendum</w:t>
            </w:r>
          </w:p>
        </w:tc>
      </w:tr>
    </w:tbl>
    <w:p>
      <w:pPr>
        <w:pStyle w:val="Heading1"/>
        <w:pBdr>
          <w:bottom w:val="single" w:color="B45309" w:sz="12" w:space="4"/>
        </w:pBdr>
        <w:spacing w:after="200" w:before="480"/>
      </w:pPr>
      <w:r>
        <w:rPr>
          <w:b/>
          <w:bCs/>
          <w:color w:val="B45309"/>
          <w:sz w:val="30"/>
          <w:szCs w:val="30"/>
        </w:rPr>
        <w:t xml:space="preserve">PART 4 — Complete Tech Stack Audit</w:t>
      </w:r>
    </w:p>
    <w:tbl>
      <w:tblPr>
        <w:tblW w:type="pct" w:w="100%"/>
        <w:tblBorders>
          <w:top w:val="single" w:color="D8CBB0" w:sz="4"/>
          <w:left w:val="single" w:color="D8CBB0" w:sz="4"/>
          <w:bottom w:val="single" w:color="D8CBB0" w:sz="4"/>
          <w:right w:val="single" w:color="D8CBB0" w:sz="4"/>
          <w:insideH w:val="single" w:color="D8CBB0" w:sz="4"/>
          <w:insideV w:val="single" w:color="D8CBB0" w:sz="4"/>
        </w:tblBorders>
      </w:tblPr>
      <w:tblGrid>
        <w:gridCol w:w="100"/>
        <w:gridCol w:w="100"/>
        <w:gridCol w:w="100"/>
      </w:tblGrid>
      <w:tr>
        <w:trPr>
          <w:tblHeader/>
        </w:trPr>
        <w:tc>
          <w:tcPr>
            <w:tcW w:type="pct" w:w="22%"/>
            <w:shd w:fill="1C1917" w:val="clear"/>
            <w:tcMar>
              <w:top w:type="dxa" w:w="100"/>
              <w:left w:type="dxa" w:w="120"/>
              <w:bottom w:type="dxa" w:w="100"/>
              <w:right w:type="dxa" w:w="120"/>
            </w:tcMar>
            <w:vAlign w:val="center"/>
          </w:tcPr>
          <w:p>
            <w:r>
              <w:rPr>
                <w:b/>
                <w:bCs/>
                <w:color w:val="FFFFFF"/>
                <w:sz w:val="19"/>
                <w:szCs w:val="19"/>
              </w:rPr>
              <w:t xml:space="preserve">Technology</w:t>
            </w:r>
          </w:p>
        </w:tc>
        <w:tc>
          <w:tcPr>
            <w:tcW w:type="pct" w:w="34%"/>
            <w:shd w:fill="1C1917" w:val="clear"/>
            <w:tcMar>
              <w:top w:type="dxa" w:w="100"/>
              <w:left w:type="dxa" w:w="120"/>
              <w:bottom w:type="dxa" w:w="100"/>
              <w:right w:type="dxa" w:w="120"/>
            </w:tcMar>
            <w:vAlign w:val="center"/>
          </w:tcPr>
          <w:p>
            <w:r>
              <w:rPr>
                <w:b/>
                <w:bCs/>
                <w:color w:val="FFFFFF"/>
                <w:sz w:val="19"/>
                <w:szCs w:val="19"/>
              </w:rPr>
              <w:t xml:space="preserve">Role</w:t>
            </w:r>
          </w:p>
        </w:tc>
        <w:tc>
          <w:tcPr>
            <w:tcW w:type="pct" w:w="44%"/>
            <w:shd w:fill="1C1917" w:val="clear"/>
            <w:tcMar>
              <w:top w:type="dxa" w:w="100"/>
              <w:left w:type="dxa" w:w="120"/>
              <w:bottom w:type="dxa" w:w="100"/>
              <w:right w:type="dxa" w:w="120"/>
            </w:tcMar>
            <w:vAlign w:val="center"/>
          </w:tcPr>
          <w:p>
            <w:r>
              <w:rPr>
                <w:b/>
                <w:bCs/>
                <w:color w:val="FFFFFF"/>
                <w:sz w:val="19"/>
                <w:szCs w:val="19"/>
              </w:rPr>
              <w:t xml:space="preserve">Why chosen / judge angle</w:t>
            </w:r>
          </w:p>
        </w:tc>
      </w:tr>
      <w:tr>
        <w:tc>
          <w:tcPr>
            <w:tcW w:type="pct" w:w="22%"/>
            <w:tcMar>
              <w:top w:type="dxa" w:w="100"/>
              <w:left w:type="dxa" w:w="120"/>
              <w:bottom w:type="dxa" w:w="100"/>
              <w:right w:type="dxa" w:w="120"/>
            </w:tcMar>
            <w:vAlign w:val="center"/>
          </w:tcPr>
          <w:p>
            <w:r>
              <w:rPr>
                <w:sz w:val="20"/>
                <w:szCs w:val="20"/>
              </w:rPr>
              <w:t xml:space="preserve">Python 3.11–3.13</w:t>
            </w:r>
          </w:p>
        </w:tc>
        <w:tc>
          <w:tcPr>
            <w:tcW w:type="pct" w:w="34%"/>
            <w:tcMar>
              <w:top w:type="dxa" w:w="100"/>
              <w:left w:type="dxa" w:w="120"/>
              <w:bottom w:type="dxa" w:w="100"/>
              <w:right w:type="dxa" w:w="120"/>
            </w:tcMar>
            <w:vAlign w:val="center"/>
          </w:tcPr>
          <w:p>
            <w:r>
              <w:rPr>
                <w:sz w:val="20"/>
                <w:szCs w:val="20"/>
              </w:rPr>
              <w:t xml:space="preserve">Entire ML/data engine, evaluation harness, Streamlit console, Hybrid IDS</w:t>
            </w:r>
          </w:p>
        </w:tc>
        <w:tc>
          <w:tcPr>
            <w:tcW w:type="pct" w:w="44%"/>
            <w:tcMar>
              <w:top w:type="dxa" w:w="100"/>
              <w:left w:type="dxa" w:w="120"/>
              <w:bottom w:type="dxa" w:w="100"/>
              <w:right w:type="dxa" w:w="120"/>
            </w:tcMar>
            <w:vAlign w:val="center"/>
          </w:tcPr>
          <w:p>
            <w:r>
              <w:rPr>
                <w:sz w:val="20"/>
                <w:szCs w:val="20"/>
              </w:rPr>
              <w:t xml:space="preserve">Not justified in docs — default for the ML ecosystem. No packaging (pyproject.toml) — runs as loose modules on PYTHONPATH, a deliberate project convention.</w:t>
            </w:r>
          </w:p>
        </w:tc>
      </w:tr>
      <w:tr>
        <w:tc>
          <w:tcPr>
            <w:tcW w:type="pct" w:w="22%"/>
            <w:shd w:fill="F5F0E8" w:val="clear"/>
            <w:tcMar>
              <w:top w:type="dxa" w:w="100"/>
              <w:left w:type="dxa" w:w="120"/>
              <w:bottom w:type="dxa" w:w="100"/>
              <w:right w:type="dxa" w:w="120"/>
            </w:tcMar>
            <w:vAlign w:val="center"/>
          </w:tcPr>
          <w:p>
            <w:r>
              <w:rPr>
                <w:sz w:val="20"/>
                <w:szCs w:val="20"/>
              </w:rPr>
              <w:t xml:space="preserve">scikit-learn</w:t>
            </w:r>
          </w:p>
        </w:tc>
        <w:tc>
          <w:tcPr>
            <w:tcW w:type="pct" w:w="34%"/>
            <w:shd w:fill="F5F0E8" w:val="clear"/>
            <w:tcMar>
              <w:top w:type="dxa" w:w="100"/>
              <w:left w:type="dxa" w:w="120"/>
              <w:bottom w:type="dxa" w:w="100"/>
              <w:right w:type="dxa" w:w="120"/>
            </w:tcMar>
            <w:vAlign w:val="center"/>
          </w:tcPr>
          <w:p>
            <w:r>
              <w:rPr>
                <w:sz w:val="20"/>
                <w:szCs w:val="20"/>
              </w:rPr>
              <w:t xml:space="preserve">IsolationForest, OneClassSVM, RandomForestClassifier, StandardScaler</w:t>
            </w:r>
          </w:p>
        </w:tc>
        <w:tc>
          <w:tcPr>
            <w:tcW w:type="pct" w:w="44%"/>
            <w:shd w:fill="F5F0E8" w:val="clear"/>
            <w:tcMar>
              <w:top w:type="dxa" w:w="100"/>
              <w:left w:type="dxa" w:w="120"/>
              <w:bottom w:type="dxa" w:w="100"/>
              <w:right w:type="dxa" w:w="120"/>
            </w:tcMar>
            <w:vAlign w:val="center"/>
          </w:tcPr>
          <w:p>
            <w:r>
              <w:rPr>
                <w:sz w:val="20"/>
                <w:szCs w:val="20"/>
              </w:rPr>
              <w:t xml:space="preserve">Industry-standard, fast to integrate. No built-in per-prediction explainability.</w:t>
            </w:r>
          </w:p>
        </w:tc>
      </w:tr>
      <w:tr>
        <w:tc>
          <w:tcPr>
            <w:tcW w:type="pct" w:w="22%"/>
            <w:tcMar>
              <w:top w:type="dxa" w:w="100"/>
              <w:left w:type="dxa" w:w="120"/>
              <w:bottom w:type="dxa" w:w="100"/>
              <w:right w:type="dxa" w:w="120"/>
            </w:tcMar>
            <w:vAlign w:val="center"/>
          </w:tcPr>
          <w:p>
            <w:r>
              <w:rPr>
                <w:sz w:val="20"/>
                <w:szCs w:val="20"/>
              </w:rPr>
              <w:t xml:space="preserve">NetworkX</w:t>
            </w:r>
          </w:p>
        </w:tc>
        <w:tc>
          <w:tcPr>
            <w:tcW w:type="pct" w:w="34%"/>
            <w:tcMar>
              <w:top w:type="dxa" w:w="100"/>
              <w:left w:type="dxa" w:w="120"/>
              <w:bottom w:type="dxa" w:w="100"/>
              <w:right w:type="dxa" w:w="120"/>
            </w:tcMar>
            <w:vAlign w:val="center"/>
          </w:tcPr>
          <w:p>
            <w:r>
              <w:rPr>
                <w:sz w:val="20"/>
                <w:szCs w:val="20"/>
              </w:rPr>
              <w:t xml:space="preserve">DiGraph for CII BFS simulation, Graph for topology layout</w:t>
            </w:r>
          </w:p>
        </w:tc>
        <w:tc>
          <w:tcPr>
            <w:tcW w:type="pct" w:w="44%"/>
            <w:tcMar>
              <w:top w:type="dxa" w:w="100"/>
              <w:left w:type="dxa" w:w="120"/>
              <w:bottom w:type="dxa" w:w="100"/>
              <w:right w:type="dxa" w:w="120"/>
            </w:tcMar>
            <w:vAlign w:val="center"/>
          </w:tcPr>
          <w:p>
            <w:r>
              <w:rPr>
                <w:sz w:val="20"/>
                <w:szCs w:val="20"/>
              </w:rPr>
              <w:t xml:space="preserve">Not contrasted against alternatives. Fine at 45 nodes/63 edges; would need a real graph engine at city-region scale.</w:t>
            </w:r>
          </w:p>
        </w:tc>
      </w:tr>
      <w:tr>
        <w:tc>
          <w:tcPr>
            <w:tcW w:type="pct" w:w="22%"/>
            <w:shd w:fill="F5F0E8" w:val="clear"/>
            <w:tcMar>
              <w:top w:type="dxa" w:w="100"/>
              <w:left w:type="dxa" w:w="120"/>
              <w:bottom w:type="dxa" w:w="100"/>
              <w:right w:type="dxa" w:w="120"/>
            </w:tcMar>
            <w:vAlign w:val="center"/>
          </w:tcPr>
          <w:p>
            <w:r>
              <w:rPr>
                <w:sz w:val="20"/>
                <w:szCs w:val="20"/>
              </w:rPr>
              <w:t xml:space="preserve">Pydantic v2</w:t>
            </w:r>
          </w:p>
        </w:tc>
        <w:tc>
          <w:tcPr>
            <w:tcW w:type="pct" w:w="34%"/>
            <w:shd w:fill="F5F0E8" w:val="clear"/>
            <w:tcMar>
              <w:top w:type="dxa" w:w="100"/>
              <w:left w:type="dxa" w:w="120"/>
              <w:bottom w:type="dxa" w:w="100"/>
              <w:right w:type="dxa" w:w="120"/>
            </w:tcMar>
            <w:vAlign w:val="center"/>
          </w:tcPr>
          <w:p>
            <w:r>
              <w:rPr>
                <w:sz w:val="20"/>
                <w:szCs w:val="20"/>
              </w:rPr>
              <w:t xml:space="preserve">Typed, frozen settings singletons (src/settings.py's SETTINGS, backend/config.py's BACKEND_SETTINGS); FastAPI schemas</w:t>
            </w:r>
          </w:p>
        </w:tc>
        <w:tc>
          <w:tcPr>
            <w:tcW w:type="pct" w:w="44%"/>
            <w:shd w:fill="F5F0E8" w:val="clear"/>
            <w:tcMar>
              <w:top w:type="dxa" w:w="100"/>
              <w:left w:type="dxa" w:w="120"/>
              <w:bottom w:type="dxa" w:w="100"/>
              <w:right w:type="dxa" w:w="120"/>
            </w:tcMar>
            <w:vAlign w:val="center"/>
          </w:tcPr>
          <w:p>
            <w:r>
              <w:rPr>
                <w:sz w:val="20"/>
                <w:szCs w:val="20"/>
              </w:rPr>
              <w:t xml:space="preserve">Enforces the project's own “no magic numbers” rule. </w:t>
            </w:r>
            <w:r>
              <w:rPr>
                <w:b/>
                <w:bCs/>
                <w:sz w:val="20"/>
                <w:szCs w:val="20"/>
              </w:rPr>
              <w:t xml:space="preserve">New this pass:</w:t>
            </w:r>
            <w:r>
              <w:rPr>
                <w:sz w:val="20"/>
                <w:szCs w:val="20"/>
              </w:rPr>
              <w:t xml:space="preserve"> 20 additional typed, bounded, docstringed fields for the Hybrid IDS alone (band thresholds, per-detector reliability weights, beaconing tuning) — every one measured or explicitly flagged as an unmeasured placeholder, none a bare literal.</w:t>
            </w:r>
          </w:p>
        </w:tc>
      </w:tr>
      <w:tr>
        <w:tc>
          <w:tcPr>
            <w:tcW w:type="pct" w:w="22%"/>
            <w:tcMar>
              <w:top w:type="dxa" w:w="100"/>
              <w:left w:type="dxa" w:w="120"/>
              <w:bottom w:type="dxa" w:w="100"/>
              <w:right w:type="dxa" w:w="120"/>
            </w:tcMar>
            <w:vAlign w:val="center"/>
          </w:tcPr>
          <w:p>
            <w:r>
              <w:rPr>
                <w:sz w:val="20"/>
                <w:szCs w:val="20"/>
              </w:rPr>
              <w:t xml:space="preserve">Streamlit</w:t>
            </w:r>
          </w:p>
        </w:tc>
        <w:tc>
          <w:tcPr>
            <w:tcW w:type="pct" w:w="34%"/>
            <w:tcMar>
              <w:top w:type="dxa" w:w="100"/>
              <w:left w:type="dxa" w:w="120"/>
              <w:bottom w:type="dxa" w:w="100"/>
              <w:right w:type="dxa" w:w="120"/>
            </w:tcMar>
            <w:vAlign w:val="center"/>
          </w:tcPr>
          <w:p>
            <w:r>
              <w:rPr>
                <w:sz w:val="20"/>
                <w:szCs w:val="20"/>
              </w:rPr>
              <w:t xml:space="preserve">Research Console — dataset picker, detector benchmarking, evaluation panel</w:t>
            </w:r>
          </w:p>
        </w:tc>
        <w:tc>
          <w:tcPr>
            <w:tcW w:type="pct" w:w="44%"/>
            <w:tcMar>
              <w:top w:type="dxa" w:w="100"/>
              <w:left w:type="dxa" w:w="120"/>
              <w:bottom w:type="dxa" w:w="100"/>
              <w:right w:type="dxa" w:w="120"/>
            </w:tcMar>
            <w:vAlign w:val="center"/>
          </w:tcPr>
          <w:p>
            <w:r>
              <w:rPr>
                <w:sz w:val="20"/>
                <w:szCs w:val="20"/>
              </w:rPr>
              <w:t xml:space="preserve">Kept deliberately for the analytics/credibility surface, not the demo surface (PLAN_MASTER.md §1.14).</w:t>
            </w:r>
          </w:p>
        </w:tc>
      </w:tr>
      <w:tr>
        <w:tc>
          <w:tcPr>
            <w:tcW w:type="pct" w:w="22%"/>
            <w:shd w:fill="F5F0E8" w:val="clear"/>
            <w:tcMar>
              <w:top w:type="dxa" w:w="100"/>
              <w:left w:type="dxa" w:w="120"/>
              <w:bottom w:type="dxa" w:w="100"/>
              <w:right w:type="dxa" w:w="120"/>
            </w:tcMar>
            <w:vAlign w:val="center"/>
          </w:tcPr>
          <w:p>
            <w:r>
              <w:rPr>
                <w:sz w:val="20"/>
                <w:szCs w:val="20"/>
              </w:rPr>
              <w:t xml:space="preserve">FastAPI</w:t>
            </w:r>
          </w:p>
        </w:tc>
        <w:tc>
          <w:tcPr>
            <w:tcW w:type="pct" w:w="34%"/>
            <w:shd w:fill="F5F0E8" w:val="clear"/>
            <w:tcMar>
              <w:top w:type="dxa" w:w="100"/>
              <w:left w:type="dxa" w:w="120"/>
              <w:bottom w:type="dxa" w:w="100"/>
              <w:right w:type="dxa" w:w="120"/>
            </w:tcMar>
            <w:vAlign w:val="center"/>
          </w:tcPr>
          <w:p>
            <w:r>
              <w:rPr>
                <w:sz w:val="20"/>
                <w:szCs w:val="20"/>
              </w:rPr>
              <w:t xml:space="preserve">Operations Console backend — 12 REST routes + 1 WebSocket</w:t>
            </w:r>
          </w:p>
        </w:tc>
        <w:tc>
          <w:tcPr>
            <w:tcW w:type="pct" w:w="44%"/>
            <w:shd w:fill="F5F0E8" w:val="clear"/>
            <w:tcMar>
              <w:top w:type="dxa" w:w="100"/>
              <w:left w:type="dxa" w:w="120"/>
              <w:bottom w:type="dxa" w:w="100"/>
              <w:right w:type="dxa" w:w="120"/>
            </w:tcMar>
            <w:vAlign w:val="center"/>
          </w:tcPr>
          <w:p>
            <w:r>
              <w:rPr>
                <w:sz w:val="20"/>
                <w:szCs w:val="20"/>
              </w:rPr>
              <w:t xml:space="preserve">Thin layer over the existing Python engine. </w:t>
            </w:r>
            <w:r>
              <w:rPr>
                <w:b/>
                <w:bCs/>
                <w:sz w:val="20"/>
                <w:szCs w:val="20"/>
              </w:rPr>
              <w:t xml:space="preserve">Updated:</w:t>
            </w:r>
            <w:r>
              <w:rPr>
                <w:sz w:val="20"/>
                <w:szCs w:val="20"/>
              </w:rPr>
              <w:t xml:space="preserve"> mutating routes now sit behind an optional bearer-token dependency and a rate limiter (backend/security.py) — no longer zero-authentication by default-available option, though still off by default.</w:t>
            </w:r>
          </w:p>
        </w:tc>
      </w:tr>
      <w:tr>
        <w:tc>
          <w:tcPr>
            <w:tcW w:type="pct" w:w="22%"/>
            <w:tcMar>
              <w:top w:type="dxa" w:w="100"/>
              <w:left w:type="dxa" w:w="120"/>
              <w:bottom w:type="dxa" w:w="100"/>
              <w:right w:type="dxa" w:w="120"/>
            </w:tcMar>
            <w:vAlign w:val="center"/>
          </w:tcPr>
          <w:p>
            <w:r>
              <w:rPr>
                <w:sz w:val="20"/>
                <w:szCs w:val="20"/>
              </w:rPr>
              <w:t xml:space="preserve">SQLAlchemy 2.0 (sync) + psycopg3</w:t>
            </w:r>
          </w:p>
        </w:tc>
        <w:tc>
          <w:tcPr>
            <w:tcW w:type="pct" w:w="34%"/>
            <w:tcMar>
              <w:top w:type="dxa" w:w="100"/>
              <w:left w:type="dxa" w:w="120"/>
              <w:bottom w:type="dxa" w:w="100"/>
              <w:right w:type="dxa" w:w="120"/>
            </w:tcMar>
            <w:vAlign w:val="center"/>
          </w:tcPr>
          <w:p>
            <w:r>
              <w:rPr>
                <w:sz w:val="20"/>
                <w:szCs w:val="20"/>
              </w:rPr>
              <w:t xml:space="preserve">ORM for 5 Postgres tables</w:t>
            </w:r>
          </w:p>
        </w:tc>
        <w:tc>
          <w:tcPr>
            <w:tcW w:type="pct" w:w="44%"/>
            <w:tcMar>
              <w:top w:type="dxa" w:w="100"/>
              <w:left w:type="dxa" w:w="120"/>
              <w:bottom w:type="dxa" w:w="100"/>
              <w:right w:type="dxa" w:w="120"/>
            </w:tcMar>
            <w:vAlign w:val="center"/>
          </w:tcPr>
          <w:p>
            <w:r>
              <w:rPr>
                <w:sz w:val="20"/>
                <w:szCs w:val="20"/>
              </w:rPr>
              <w:t xml:space="preserve">Sync engine in sync routes runs in a threadpool — correct pattern, caps DB-bound concurrency at pool size (5+10 overflow). Unchanged this pass.</w:t>
            </w:r>
          </w:p>
        </w:tc>
      </w:tr>
      <w:tr>
        <w:tc>
          <w:tcPr>
            <w:tcW w:type="pct" w:w="22%"/>
            <w:shd w:fill="F5F0E8" w:val="clear"/>
            <w:tcMar>
              <w:top w:type="dxa" w:w="100"/>
              <w:left w:type="dxa" w:w="120"/>
              <w:bottom w:type="dxa" w:w="100"/>
              <w:right w:type="dxa" w:w="120"/>
            </w:tcMar>
            <w:vAlign w:val="center"/>
          </w:tcPr>
          <w:p>
            <w:r>
              <w:rPr>
                <w:sz w:val="20"/>
                <w:szCs w:val="20"/>
              </w:rPr>
              <w:t xml:space="preserve">PostgreSQL 16</w:t>
            </w:r>
          </w:p>
        </w:tc>
        <w:tc>
          <w:tcPr>
            <w:tcW w:type="pct" w:w="34%"/>
            <w:shd w:fill="F5F0E8" w:val="clear"/>
            <w:tcMar>
              <w:top w:type="dxa" w:w="100"/>
              <w:left w:type="dxa" w:w="120"/>
              <w:bottom w:type="dxa" w:w="100"/>
              <w:right w:type="dxa" w:w="120"/>
            </w:tcMar>
            <w:vAlign w:val="center"/>
          </w:tcPr>
          <w:p>
            <w:r>
              <w:rPr>
                <w:sz w:val="20"/>
                <w:szCs w:val="20"/>
              </w:rPr>
              <w:t xml:space="preserve">Durable store for events, scores, alerts, CII snapshots, assets</w:t>
            </w:r>
          </w:p>
        </w:tc>
        <w:tc>
          <w:tcPr>
            <w:tcW w:type="pct" w:w="44%"/>
            <w:shd w:fill="F5F0E8" w:val="clear"/>
            <w:tcMar>
              <w:top w:type="dxa" w:w="100"/>
              <w:left w:type="dxa" w:w="120"/>
              <w:bottom w:type="dxa" w:w="100"/>
              <w:right w:type="dxa" w:w="120"/>
            </w:tcMar>
            <w:vAlign w:val="center"/>
          </w:tcPr>
          <w:p>
            <w:r>
              <w:rPr>
                <w:sz w:val="20"/>
                <w:szCs w:val="20"/>
              </w:rPr>
              <w:t xml:space="preserve">“The name judges recognize as real infrastructure” (PLAN_MASTER.md §1.14, Decision #7), plus real JSONB support. event_scores now carries up to 6 rows per event (volumetric, tripwire, supervised, signature, beaconing, hybrid) — the schema was built for exactly this multi-detector shape.</w:t>
            </w:r>
          </w:p>
        </w:tc>
      </w:tr>
      <w:tr>
        <w:tc>
          <w:tcPr>
            <w:tcW w:type="pct" w:w="22%"/>
            <w:tcMar>
              <w:top w:type="dxa" w:w="100"/>
              <w:left w:type="dxa" w:w="120"/>
              <w:bottom w:type="dxa" w:w="100"/>
              <w:right w:type="dxa" w:w="120"/>
            </w:tcMar>
            <w:vAlign w:val="center"/>
          </w:tcPr>
          <w:p>
            <w:r>
              <w:rPr>
                <w:sz w:val="20"/>
                <w:szCs w:val="20"/>
              </w:rPr>
              <w:t xml:space="preserve">No Alembic (schema via create_all())</w:t>
            </w:r>
          </w:p>
        </w:tc>
        <w:tc>
          <w:tcPr>
            <w:tcW w:type="pct" w:w="34%"/>
            <w:tcMar>
              <w:top w:type="dxa" w:w="100"/>
              <w:left w:type="dxa" w:w="120"/>
              <w:bottom w:type="dxa" w:w="100"/>
              <w:right w:type="dxa" w:w="120"/>
            </w:tcMar>
            <w:vAlign w:val="center"/>
          </w:tcPr>
          <w:p>
            <w:r>
              <w:rPr>
                <w:sz w:val="20"/>
                <w:szCs w:val="20"/>
              </w:rPr>
              <w:t xml:space="preserve">Schema management</w:t>
            </w:r>
          </w:p>
        </w:tc>
        <w:tc>
          <w:tcPr>
            <w:tcW w:type="pct" w:w="44%"/>
            <w:tcMar>
              <w:top w:type="dxa" w:w="100"/>
              <w:left w:type="dxa" w:w="120"/>
              <w:bottom w:type="dxa" w:w="100"/>
              <w:right w:type="dxa" w:w="120"/>
            </w:tcMar>
            <w:vAlign w:val="center"/>
          </w:tcPr>
          <w:p>
            <w:r>
              <w:rPr>
                <w:sz w:val="20"/>
                <w:szCs w:val="20"/>
              </w:rPr>
              <w:t xml:space="preserve">“Greenfield schema, no production data, 8-day sprint” — a real gap in production, say so unprompted.</w:t>
            </w:r>
          </w:p>
        </w:tc>
      </w:tr>
      <w:tr>
        <w:tc>
          <w:tcPr>
            <w:tcW w:type="pct" w:w="22%"/>
            <w:shd w:fill="F5F0E8" w:val="clear"/>
            <w:tcMar>
              <w:top w:type="dxa" w:w="100"/>
              <w:left w:type="dxa" w:w="120"/>
              <w:bottom w:type="dxa" w:w="100"/>
              <w:right w:type="dxa" w:w="120"/>
            </w:tcMar>
            <w:vAlign w:val="center"/>
          </w:tcPr>
          <w:p>
            <w:r>
              <w:rPr>
                <w:sz w:val="20"/>
                <w:szCs w:val="20"/>
              </w:rPr>
              <w:t xml:space="preserve">Next.js 16.3.3 / React 19.2.8</w:t>
            </w:r>
          </w:p>
        </w:tc>
        <w:tc>
          <w:tcPr>
            <w:tcW w:type="pct" w:w="34%"/>
            <w:shd w:fill="F5F0E8" w:val="clear"/>
            <w:tcMar>
              <w:top w:type="dxa" w:w="100"/>
              <w:left w:type="dxa" w:w="120"/>
              <w:bottom w:type="dxa" w:w="100"/>
              <w:right w:type="dxa" w:w="120"/>
            </w:tcMar>
            <w:vAlign w:val="center"/>
          </w:tcPr>
          <w:p>
            <w:r>
              <w:rPr>
                <w:sz w:val="20"/>
                <w:szCs w:val="20"/>
              </w:rPr>
              <w:t xml:space="preserve">Operations Console frontend</w:t>
            </w:r>
          </w:p>
        </w:tc>
        <w:tc>
          <w:tcPr>
            <w:tcW w:type="pct" w:w="44%"/>
            <w:shd w:fill="F5F0E8" w:val="clear"/>
            <w:tcMar>
              <w:top w:type="dxa" w:w="100"/>
              <w:left w:type="dxa" w:w="120"/>
              <w:bottom w:type="dxa" w:w="100"/>
              <w:right w:type="dxa" w:w="120"/>
            </w:tcMar>
            <w:vAlign w:val="center"/>
          </w:tcPr>
          <w:p>
            <w:r>
              <w:rPr>
                <w:b/>
                <w:bCs/>
                <w:sz w:val="20"/>
                <w:szCs w:val="20"/>
              </w:rPr>
              <w:t xml:space="preserve">Found and fixed this pass:</w:t>
            </w:r>
            <w:r>
              <w:rPr>
                <w:sz w:val="20"/>
                <w:szCs w:val="20"/>
              </w:rPr>
              <w:t xml:space="preserve"> Next.js 16's allowedDevOrigins default security behavior was silently blocking dev-server resources when opened via 127.0.0.1 rather than localhost — a real bug affecting anyone following the project's own documented setup instructions. No Dockerfile anywhere in the repo — deployment story remains dev-server-only.</w:t>
            </w:r>
          </w:p>
        </w:tc>
      </w:tr>
      <w:tr>
        <w:tc>
          <w:tcPr>
            <w:tcW w:type="pct" w:w="22%"/>
            <w:tcMar>
              <w:top w:type="dxa" w:w="100"/>
              <w:left w:type="dxa" w:w="120"/>
              <w:bottom w:type="dxa" w:w="100"/>
              <w:right w:type="dxa" w:w="120"/>
            </w:tcMar>
            <w:vAlign w:val="center"/>
          </w:tcPr>
          <w:p>
            <w:r>
              <w:rPr>
                <w:sz w:val="20"/>
                <w:szCs w:val="20"/>
              </w:rPr>
              <w:t xml:space="preserve">Tailwind CSS v4 (Lightning CSS)</w:t>
            </w:r>
          </w:p>
        </w:tc>
        <w:tc>
          <w:tcPr>
            <w:tcW w:type="pct" w:w="34%"/>
            <w:tcMar>
              <w:top w:type="dxa" w:w="100"/>
              <w:left w:type="dxa" w:w="120"/>
              <w:bottom w:type="dxa" w:w="100"/>
              <w:right w:type="dxa" w:w="120"/>
            </w:tcMar>
            <w:vAlign w:val="center"/>
          </w:tcPr>
          <w:p>
            <w:r>
              <w:rPr>
                <w:sz w:val="20"/>
                <w:szCs w:val="20"/>
              </w:rPr>
              <w:t xml:space="preserve">Styling</w:t>
            </w:r>
          </w:p>
        </w:tc>
        <w:tc>
          <w:tcPr>
            <w:tcW w:type="pct" w:w="44%"/>
            <w:tcMar>
              <w:top w:type="dxa" w:w="100"/>
              <w:left w:type="dxa" w:w="120"/>
              <w:bottom w:type="dxa" w:w="100"/>
              <w:right w:type="dxa" w:w="120"/>
            </w:tcMar>
            <w:vAlign w:val="center"/>
          </w:tcPr>
          <w:p>
            <w:r>
              <w:rPr>
                <w:b/>
                <w:bCs/>
                <w:sz w:val="20"/>
                <w:szCs w:val="20"/>
              </w:rPr>
              <w:t xml:space="preserve">Found and fixed this pass:</w:t>
            </w:r>
            <w:r>
              <w:rPr>
                <w:sz w:val="20"/>
                <w:szCs w:val="20"/>
              </w:rPr>
              <w:t xml:space="preserve"> the build's CSS pass silently collapsed a </w:t>
            </w:r>
            <w:r>
              <w:rPr>
                <w:rFonts w:ascii="Consolas" w:cs="Consolas" w:eastAsia="Consolas" w:hAnsi="Consolas"/>
                <w:sz w:val="20"/>
                <w:szCs w:val="20"/>
              </w:rPr>
              <w:t xml:space="preserve">backdrop-filter</w:t>
            </w:r>
            <w:r>
              <w:rPr>
                <w:sz w:val="20"/>
                <w:szCs w:val="20"/>
              </w:rPr>
              <w:t xml:space="preserve">/</w:t>
            </w:r>
            <w:r>
              <w:rPr>
                <w:rFonts w:ascii="Consolas" w:cs="Consolas" w:eastAsia="Consolas" w:hAnsi="Consolas"/>
                <w:sz w:val="20"/>
                <w:szCs w:val="20"/>
              </w:rPr>
              <w:t xml:space="preserve">-webkit-backdrop-filter</w:t>
            </w:r>
            <w:r>
              <w:rPr>
                <w:sz w:val="20"/>
                <w:szCs w:val="20"/>
              </w:rPr>
              <w:t xml:space="preserve"> pair down to only the unsupported prefixed form, making one popover render at ~4% opacity with text bleeding through it. A real, non-obvious build-tool defect, not a hand-authoring mistake.</w:t>
            </w:r>
          </w:p>
        </w:tc>
      </w:tr>
      <w:tr>
        <w:tc>
          <w:tcPr>
            <w:tcW w:type="pct" w:w="22%"/>
            <w:shd w:fill="F5F0E8" w:val="clear"/>
            <w:tcMar>
              <w:top w:type="dxa" w:w="100"/>
              <w:left w:type="dxa" w:w="120"/>
              <w:bottom w:type="dxa" w:w="100"/>
              <w:right w:type="dxa" w:w="120"/>
            </w:tcMar>
            <w:vAlign w:val="center"/>
          </w:tcPr>
          <w:p>
            <w:r>
              <w:rPr>
                <w:sz w:val="20"/>
                <w:szCs w:val="20"/>
              </w:rPr>
              <w:t xml:space="preserve">react-force-graph-2d</w:t>
            </w:r>
          </w:p>
        </w:tc>
        <w:tc>
          <w:tcPr>
            <w:tcW w:type="pct" w:w="34%"/>
            <w:shd w:fill="F5F0E8" w:val="clear"/>
            <w:tcMar>
              <w:top w:type="dxa" w:w="100"/>
              <w:left w:type="dxa" w:w="120"/>
              <w:bottom w:type="dxa" w:w="100"/>
              <w:right w:type="dxa" w:w="120"/>
            </w:tcMar>
            <w:vAlign w:val="center"/>
          </w:tcPr>
          <w:p>
            <w:r>
              <w:rPr>
                <w:sz w:val="20"/>
                <w:szCs w:val="20"/>
              </w:rPr>
              <w:t xml:space="preserve">City graph rendering (Canvas 2D)</w:t>
            </w:r>
          </w:p>
        </w:tc>
        <w:tc>
          <w:tcPr>
            <w:tcW w:type="pct" w:w="44%"/>
            <w:shd w:fill="F5F0E8" w:val="clear"/>
            <w:tcMar>
              <w:top w:type="dxa" w:w="100"/>
              <w:left w:type="dxa" w:w="120"/>
              <w:bottom w:type="dxa" w:w="100"/>
              <w:right w:type="dxa" w:w="120"/>
            </w:tcMar>
            <w:vAlign w:val="center"/>
          </w:tcPr>
          <w:p>
            <w:r>
              <w:rPr>
                <w:sz w:val="20"/>
                <w:szCs w:val="20"/>
              </w:rPr>
              <w:t xml:space="preserve">No comparison to alternatives documented. </w:t>
            </w:r>
            <w:r>
              <w:rPr>
                <w:b/>
                <w:bCs/>
                <w:sz w:val="20"/>
                <w:szCs w:val="20"/>
              </w:rPr>
              <w:t xml:space="preserve">Fixed this pass:</w:t>
            </w:r>
            <w:r>
              <w:rPr>
                <w:sz w:val="20"/>
                <w:szCs w:val="20"/>
              </w:rPr>
              <w:t xml:space="preserve"> the compact view was silently omitting the 4 gateway nodes and the synthesized City_Grid node — and every cascade edge touching them — from the render entirely; now a real eleventh sector.</w:t>
            </w:r>
          </w:p>
        </w:tc>
      </w:tr>
      <w:tr>
        <w:tc>
          <w:tcPr>
            <w:tcW w:type="pct" w:w="22%"/>
            <w:tcMar>
              <w:top w:type="dxa" w:w="100"/>
              <w:left w:type="dxa" w:w="120"/>
              <w:bottom w:type="dxa" w:w="100"/>
              <w:right w:type="dxa" w:w="120"/>
            </w:tcMar>
            <w:vAlign w:val="center"/>
          </w:tcPr>
          <w:p>
            <w:r>
              <w:rPr>
                <w:sz w:val="20"/>
                <w:szCs w:val="20"/>
              </w:rPr>
              <w:t xml:space="preserve">WebSocket (FastAPI + custom broadcaster)</w:t>
            </w:r>
          </w:p>
        </w:tc>
        <w:tc>
          <w:tcPr>
            <w:tcW w:type="pct" w:w="34%"/>
            <w:tcMar>
              <w:top w:type="dxa" w:w="100"/>
              <w:left w:type="dxa" w:w="120"/>
              <w:bottom w:type="dxa" w:w="100"/>
              <w:right w:type="dxa" w:w="120"/>
            </w:tcMar>
            <w:vAlign w:val="center"/>
          </w:tcPr>
          <w:p>
            <w:r>
              <w:rPr>
                <w:sz w:val="20"/>
                <w:szCs w:val="20"/>
              </w:rPr>
              <w:t xml:space="preserve">Live event/alert/CII push</w:t>
            </w:r>
          </w:p>
        </w:tc>
        <w:tc>
          <w:tcPr>
            <w:tcW w:type="pct" w:w="44%"/>
            <w:tcMar>
              <w:top w:type="dxa" w:w="100"/>
              <w:left w:type="dxa" w:w="120"/>
              <w:bottom w:type="dxa" w:w="100"/>
              <w:right w:type="dxa" w:w="120"/>
            </w:tcMar>
            <w:vAlign w:val="center"/>
          </w:tcPr>
          <w:p>
            <w:r>
              <w:rPr>
                <w:b/>
                <w:bCs/>
                <w:sz w:val="20"/>
                <w:szCs w:val="20"/>
              </w:rPr>
              <w:t xml:space="preserve">Fixed this pass:</w:t>
            </w:r>
            <w:r>
              <w:rPr>
                <w:sz w:val="20"/>
                <w:szCs w:val="20"/>
              </w:rPr>
              <w:t xml:space="preserve"> a debounced repeat compromise on the same asset used to compute a fresh blast radius but never broadcast it — verified live via a WebSocket frame capture. Reconnection resync (GET /api/events?since=) was already correct and remains so.</w:t>
            </w:r>
          </w:p>
        </w:tc>
      </w:tr>
      <w:tr>
        <w:tc>
          <w:tcPr>
            <w:tcW w:type="pct" w:w="22%"/>
            <w:shd w:fill="F5F0E8" w:val="clear"/>
            <w:tcMar>
              <w:top w:type="dxa" w:w="100"/>
              <w:left w:type="dxa" w:w="120"/>
              <w:bottom w:type="dxa" w:w="100"/>
              <w:right w:type="dxa" w:w="120"/>
            </w:tcMar>
            <w:vAlign w:val="center"/>
          </w:tcPr>
          <w:p>
            <w:r>
              <w:rPr>
                <w:sz w:val="20"/>
                <w:szCs w:val="20"/>
              </w:rPr>
              <w:t xml:space="preserve">CIC-IDS2017</w:t>
            </w:r>
          </w:p>
        </w:tc>
        <w:tc>
          <w:tcPr>
            <w:tcW w:type="pct" w:w="34%"/>
            <w:shd w:fill="F5F0E8" w:val="clear"/>
            <w:tcMar>
              <w:top w:type="dxa" w:w="100"/>
              <w:left w:type="dxa" w:w="120"/>
              <w:bottom w:type="dxa" w:w="100"/>
              <w:right w:type="dxa" w:w="120"/>
            </w:tcMar>
            <w:vAlign w:val="center"/>
          </w:tcPr>
          <w:p>
            <w:r>
              <w:rPr>
                <w:sz w:val="20"/>
                <w:szCs w:val="20"/>
              </w:rPr>
              <w:t xml:space="preserve">Primary real-world network-flow dataset</w:t>
            </w:r>
          </w:p>
        </w:tc>
        <w:tc>
          <w:tcPr>
            <w:tcW w:type="pct" w:w="44%"/>
            <w:shd w:fill="F5F0E8" w:val="clear"/>
            <w:tcMar>
              <w:top w:type="dxa" w:w="100"/>
              <w:left w:type="dxa" w:w="120"/>
              <w:bottom w:type="dxa" w:w="100"/>
              <w:right w:type="dxa" w:w="120"/>
            </w:tcMar>
            <w:vAlign w:val="center"/>
          </w:tcPr>
          <w:p>
            <w:r>
              <w:rPr>
                <w:sz w:val="20"/>
                <w:szCs w:val="20"/>
              </w:rPr>
              <w:t xml:space="preserve">Public, labeled, standard IDS benchmark. A 2017 testbed capture, not live municipal traffic. Unchanged.</w:t>
            </w:r>
          </w:p>
        </w:tc>
      </w:tr>
      <w:tr>
        <w:tc>
          <w:tcPr>
            <w:tcW w:type="pct" w:w="22%"/>
            <w:tcMar>
              <w:top w:type="dxa" w:w="100"/>
              <w:left w:type="dxa" w:w="120"/>
              <w:bottom w:type="dxa" w:w="100"/>
              <w:right w:type="dxa" w:w="120"/>
            </w:tcMar>
            <w:vAlign w:val="center"/>
          </w:tcPr>
          <w:p>
            <w:r>
              <w:rPr>
                <w:sz w:val="20"/>
                <w:szCs w:val="20"/>
              </w:rPr>
              <w:t xml:space="preserve">PaySim</w:t>
            </w:r>
          </w:p>
        </w:tc>
        <w:tc>
          <w:tcPr>
            <w:tcW w:type="pct" w:w="34%"/>
            <w:tcMar>
              <w:top w:type="dxa" w:w="100"/>
              <w:left w:type="dxa" w:w="120"/>
              <w:bottom w:type="dxa" w:w="100"/>
              <w:right w:type="dxa" w:w="120"/>
            </w:tcMar>
            <w:vAlign w:val="center"/>
          </w:tcPr>
          <w:p>
            <w:r>
              <w:rPr>
                <w:sz w:val="20"/>
                <w:szCs w:val="20"/>
              </w:rPr>
              <w:t xml:space="preserve">Financial-transaction dataset (Research Console)</w:t>
            </w:r>
          </w:p>
        </w:tc>
        <w:tc>
          <w:tcPr>
            <w:tcW w:type="pct" w:w="44%"/>
            <w:tcMar>
              <w:top w:type="dxa" w:w="100"/>
              <w:left w:type="dxa" w:w="120"/>
              <w:bottom w:type="dxa" w:w="100"/>
              <w:right w:type="dxa" w:w="120"/>
            </w:tcMar>
            <w:vAlign w:val="center"/>
          </w:tcPr>
          <w:p>
            <w:r>
              <w:rPr>
                <w:sz w:val="20"/>
                <w:szCs w:val="20"/>
              </w:rPr>
              <w:t xml:space="preserve">Simulated but widely used and explicitly endorsed by the roadmap — a simulated dataset published as such by its own authors.</w:t>
            </w:r>
          </w:p>
        </w:tc>
      </w:tr>
      <w:tr>
        <w:tc>
          <w:tcPr>
            <w:tcW w:type="pct" w:w="22%"/>
            <w:shd w:fill="F5F0E8" w:val="clear"/>
            <w:tcMar>
              <w:top w:type="dxa" w:w="100"/>
              <w:left w:type="dxa" w:w="120"/>
              <w:bottom w:type="dxa" w:w="100"/>
              <w:right w:type="dxa" w:w="120"/>
            </w:tcMar>
            <w:vAlign w:val="center"/>
          </w:tcPr>
          <w:p>
            <w:r>
              <w:rPr>
                <w:sz w:val="20"/>
                <w:szCs w:val="20"/>
              </w:rPr>
              <w:t xml:space="preserve">SWaT</w:t>
            </w:r>
          </w:p>
        </w:tc>
        <w:tc>
          <w:tcPr>
            <w:tcW w:type="pct" w:w="34%"/>
            <w:shd w:fill="F5F0E8" w:val="clear"/>
            <w:tcMar>
              <w:top w:type="dxa" w:w="100"/>
              <w:left w:type="dxa" w:w="120"/>
              <w:bottom w:type="dxa" w:w="100"/>
              <w:right w:type="dxa" w:w="120"/>
            </w:tcMar>
            <w:vAlign w:val="center"/>
          </w:tcPr>
          <w:p>
            <w:r>
              <w:rPr>
                <w:sz w:val="20"/>
                <w:szCs w:val="20"/>
              </w:rPr>
              <w:t xml:space="preserve">ICS/OT sensor telemetry (Research Console)</w:t>
            </w:r>
          </w:p>
        </w:tc>
        <w:tc>
          <w:tcPr>
            <w:tcW w:type="pct" w:w="44%"/>
            <w:shd w:fill="F5F0E8" w:val="clear"/>
            <w:tcMar>
              <w:top w:type="dxa" w:w="100"/>
              <w:left w:type="dxa" w:w="120"/>
              <w:bottom w:type="dxa" w:w="100"/>
              <w:right w:type="dxa" w:w="120"/>
            </w:tcMar>
            <w:vAlign w:val="center"/>
          </w:tcPr>
          <w:p>
            <w:r>
              <w:rPr>
                <w:sz w:val="20"/>
                <w:szCs w:val="20"/>
              </w:rPr>
              <w:t xml:space="preserve">Real physical testbed capture. Restricted research data-use license, correctly gitignored.</w:t>
            </w:r>
          </w:p>
        </w:tc>
      </w:tr>
      <w:tr>
        <w:tc>
          <w:tcPr>
            <w:tcW w:type="pct" w:w="22%"/>
            <w:tcMar>
              <w:top w:type="dxa" w:w="100"/>
              <w:left w:type="dxa" w:w="120"/>
              <w:bottom w:type="dxa" w:w="100"/>
              <w:right w:type="dxa" w:w="120"/>
            </w:tcMar>
            <w:vAlign w:val="center"/>
          </w:tcPr>
          <w:p>
            <w:r>
              <w:rPr>
                <w:sz w:val="20"/>
                <w:szCs w:val="20"/>
              </w:rPr>
              <w:t xml:space="preserve">graphify (dev tooling)</w:t>
            </w:r>
          </w:p>
        </w:tc>
        <w:tc>
          <w:tcPr>
            <w:tcW w:type="pct" w:w="34%"/>
            <w:tcMar>
              <w:top w:type="dxa" w:w="100"/>
              <w:left w:type="dxa" w:w="120"/>
              <w:bottom w:type="dxa" w:w="100"/>
              <w:right w:type="dxa" w:w="120"/>
            </w:tcMar>
            <w:vAlign w:val="center"/>
          </w:tcPr>
          <w:p>
            <w:r>
              <w:rPr>
                <w:sz w:val="20"/>
                <w:szCs w:val="20"/>
              </w:rPr>
              <w:t xml:space="preserve">Knowledge-graph indexing of this codebase for AI-assisted development</w:t>
            </w:r>
          </w:p>
        </w:tc>
        <w:tc>
          <w:tcPr>
            <w:tcW w:type="pct" w:w="44%"/>
            <w:tcMar>
              <w:top w:type="dxa" w:w="100"/>
              <w:left w:type="dxa" w:w="120"/>
              <w:bottom w:type="dxa" w:w="100"/>
              <w:right w:type="dxa" w:w="120"/>
            </w:tcMar>
            <w:vAlign w:val="center"/>
          </w:tcPr>
          <w:p>
            <w:r>
              <w:rPr>
                <w:sz w:val="20"/>
                <w:szCs w:val="20"/>
              </w:rPr>
              <w:t xml:space="preserve">Internal tooling only — not part of the shipped product. Do not mention in the pitch.</w:t>
            </w:r>
          </w:p>
        </w:tc>
      </w:tr>
    </w:tbl>
    <w:p>
      <w:pPr>
        <w:spacing w:after="140" w:line="276"/>
      </w:pPr>
      <w:r>
        <w:rPr>
          <w:b/>
          <w:bCs/>
          <w:color w:val="6B7280"/>
          <w:sz w:val="19"/>
          <w:szCs w:val="19"/>
        </w:rPr>
        <w:t xml:space="preserve">[NOT SPECIFIED] </w:t>
      </w:r>
      <w:r>
        <w:t xml:space="preserve">Still absent from the stack entirely: message queues, a cache layer, containers/Docker, CI/CD beyond GitHub Actions running lint+tests, monitoring/observability tooling, a secrets manager, GIS/satellite components, and hardware/sensor integration beyond SWaT's historical sensor tags. If asked about any of these: “not built, here's what we'd add first” (Parts 12/17).</w:t>
      </w:r>
    </w:p>
    <w:p>
      <w:pPr>
        <w:pStyle w:val="Heading1"/>
        <w:pBdr>
          <w:bottom w:val="single" w:color="B45309" w:sz="12" w:space="4"/>
        </w:pBdr>
        <w:spacing w:after="200" w:before="480"/>
      </w:pPr>
      <w:r>
        <w:rPr>
          <w:b/>
          <w:bCs/>
          <w:color w:val="B45309"/>
          <w:sz w:val="30"/>
          <w:szCs w:val="30"/>
        </w:rPr>
        <w:t xml:space="preserve">PART 5 — System Architecture — One Flow, End to End</w:t>
      </w:r>
    </w:p>
    <w:p>
      <w:pPr>
        <w:spacing w:after="140" w:line="276"/>
      </w:pPr>
      <w:r>
        <w:rPr>
          <w:b/>
          <w:bCs/>
        </w:rPr>
        <w:t xml:space="preserve">Updated pipeline</w:t>
      </w:r>
      <w:r>
        <w:t xml:space="preserve"> — stage 1 now branches into five detectors feeding one fusion step before persistence:</w:t>
      </w:r>
    </w:p>
    <w:p>
      <w:pPr>
        <w:spacing w:after="20"/>
      </w:pPr>
      <w:r>
        <w:rPr>
          <w:rFonts w:ascii="Consolas" w:cs="Consolas" w:eastAsia="Consolas" w:hAnsi="Consolas"/>
          <w:sz w:val="18"/>
          <w:szCs w:val="18"/>
        </w:rPr>
        <w:t xml:space="preserve">CIC-IDS2017 raw CSVs (real IPs, real timestamps, 12h-clock corrected)</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ReplayFlowReader — stdlib csv reader, latin-1, stable chronological sort (backend/replay_reader.py)</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ReplayEngine — background thread, fixed-anchor time pacing, speed multiplier, micro-batches (backend/replay_engine.py)</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IngestPipeline — per micro-batch, synchronous, single-threaded:</w:t>
      </w:r>
    </w:p>
    <w:p>
      <w:pPr>
        <w:spacing w:after="20"/>
      </w:pPr>
      <w:r>
        <w:rPr>
          <w:rFonts w:ascii="Consolas" w:cs="Consolas" w:eastAsia="Consolas" w:hAnsi="Consolas"/>
          <w:sz w:val="18"/>
          <w:szCs w:val="18"/>
        </w:rPr>
        <w:t xml:space="preserve">  1. StreamingScorer.score_batch() → Isolation Forest (pre-fitted, unsupervised)</w:t>
      </w:r>
    </w:p>
    <w:p>
      <w:pPr>
        <w:spacing w:after="20"/>
      </w:pPr>
      <w:r>
        <w:rPr>
          <w:rFonts w:ascii="Consolas" w:cs="Consolas" w:eastAsia="Consolas" w:hAnsi="Consolas"/>
          <w:sz w:val="18"/>
          <w:szCs w:val="18"/>
        </w:rPr>
        <w:t xml:space="preserve">  2. TripwireDetector.predict() → honeytoken check</w:t>
      </w:r>
    </w:p>
    <w:p>
      <w:pPr>
        <w:spacing w:after="20"/>
      </w:pPr>
      <w:r>
        <w:rPr>
          <w:rFonts w:ascii="Consolas" w:cs="Consolas" w:eastAsia="Consolas" w:hAnsi="Consolas"/>
          <w:sz w:val="18"/>
          <w:szCs w:val="18"/>
        </w:rPr>
        <w:t xml:space="preserve">  3. SupervisedFlowScorer.score_batch() → Random Forest (pre-fitted, supervised, if artifact loaded)</w:t>
      </w:r>
    </w:p>
    <w:p>
      <w:pPr>
        <w:spacing w:after="20"/>
      </w:pPr>
      <w:r>
        <w:rPr>
          <w:rFonts w:ascii="Consolas" w:cs="Consolas" w:eastAsia="Consolas" w:hAnsi="Consolas"/>
          <w:sz w:val="18"/>
          <w:szCs w:val="18"/>
        </w:rPr>
        <w:t xml:space="preserve">  4. NEW — SignatureEngine.examine() → 4 metadata rules</w:t>
      </w:r>
    </w:p>
    <w:p>
      <w:pPr>
        <w:spacing w:after="20"/>
      </w:pPr>
      <w:r>
        <w:rPr>
          <w:rFonts w:ascii="Consolas" w:cs="Consolas" w:eastAsia="Consolas" w:hAnsi="Consolas"/>
          <w:sz w:val="18"/>
          <w:szCs w:val="18"/>
        </w:rPr>
        <w:t xml:space="preserve">  5. NEW — BeaconingDetector.examine() → per-(src,dst) timing-regularity check (stateful across batches)</w:t>
      </w:r>
    </w:p>
    <w:p>
      <w:pPr>
        <w:spacing w:after="20"/>
      </w:pPr>
      <w:r>
        <w:rPr>
          <w:rFonts w:ascii="Consolas" w:cs="Consolas" w:eastAsia="Consolas" w:hAnsi="Consolas"/>
          <w:sz w:val="18"/>
          <w:szCs w:val="18"/>
        </w:rPr>
        <w:t xml:space="preserve">  6. NEW — HybridFusionEngine.fuse() → one FusedDecision per flow from all five verdicts above</w:t>
      </w:r>
    </w:p>
    <w:p>
      <w:pPr>
        <w:spacing w:after="20"/>
      </w:pPr>
      <w:r>
        <w:rPr>
          <w:rFonts w:ascii="Consolas" w:cs="Consolas" w:eastAsia="Consolas" w:hAnsi="Consolas"/>
          <w:sz w:val="18"/>
          <w:szCs w:val="18"/>
        </w:rPr>
        <w:t xml:space="preserve">  7. fuse (existing, unchanged): is_anomaly = volumetric OR tripwire</w:t>
      </w:r>
    </w:p>
    <w:p>
      <w:pPr>
        <w:spacing w:after="20"/>
      </w:pPr>
      <w:r>
        <w:rPr>
          <w:rFonts w:ascii="Consolas" w:cs="Consolas" w:eastAsia="Consolas" w:hAnsi="Consolas"/>
          <w:sz w:val="18"/>
          <w:szCs w:val="18"/>
        </w:rPr>
        <w:t xml:space="preserve">  8. AssetRegistry.resolve() ×2 → source/destination asset names</w:t>
      </w:r>
    </w:p>
    <w:p>
      <w:pPr>
        <w:spacing w:after="20"/>
      </w:pPr>
      <w:r>
        <w:rPr>
          <w:rFonts w:ascii="Consolas" w:cs="Consolas" w:eastAsia="Consolas" w:hAnsi="Consolas"/>
          <w:sz w:val="18"/>
          <w:szCs w:val="18"/>
        </w:rPr>
        <w:t xml:space="preserve">  9. alert policy decision + debounce (existing channels); separately, hybrid_gates_alerts-gated decision for the fused channel</w:t>
      </w:r>
    </w:p>
    <w:p>
      <w:pPr>
        <w:spacing w:after="20"/>
      </w:pPr>
      <w:r>
        <w:rPr>
          <w:rFonts w:ascii="Consolas" w:cs="Consolas" w:eastAsia="Consolas" w:hAnsi="Consolas"/>
          <w:sz w:val="18"/>
          <w:szCs w:val="18"/>
        </w:rPr>
        <w:t xml:space="preserve">  10. ONE Postgres transaction: events, event_scores (up to 6 rows/event now), cii_snapshots (if triggered), alerts (if policy clears)</w:t>
      </w:r>
    </w:p>
    <w:p>
      <w:pPr>
        <w:spacing w:after="20"/>
      </w:pPr>
      <w:r>
        <w:rPr>
          <w:rFonts w:ascii="Consolas" w:cs="Consolas" w:eastAsia="Consolas" w:hAnsi="Consolas"/>
          <w:sz w:val="18"/>
          <w:szCs w:val="18"/>
        </w:rPr>
        <w:t xml:space="preserve">  11. WebSocketBroadcaster.publish() → after commit, never before; event envelope now carries an additive hybrid summary field</w:t>
      </w:r>
    </w:p>
    <w:p>
      <w:pPr>
        <w:spacing w:after="20"/>
      </w:pPr>
      <w:r>
        <w:rPr>
          <w:rFonts w:ascii="Consolas" w:cs="Consolas" w:eastAsia="Consolas" w:hAnsi="Consolas"/>
          <w:sz w:val="18"/>
          <w:szCs w:val="18"/>
        </w:rPr>
        <w:t xml:space="preserve">                 (backend/ingest.py, backend/detection/*)</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PostgreSQL — 5 tables, no ORM migrations, row-count-based retention (now optionally also age-based)</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WS /ws/stream — per-client bounded queue, oldest-drop backpressure (backend/ws_broadcaster.py)</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Next.js console — StreamProvider (1 shared WS per tab) → TelemetryRail, CityGraph (now renders all 50 real nodes, 11 sectors), AlertsRail, AppHeader (risk index, replay controls, NEW restart-replay button)</w:t>
      </w:r>
    </w:p>
    <w:p>
      <w:pPr>
        <w:pStyle w:val="Heading2"/>
        <w:spacing w:after="120" w:before="320"/>
      </w:pPr>
      <w:r>
        <w:rPr>
          <w:b/>
          <w:bCs/>
          <w:sz w:val="24"/>
          <w:szCs w:val="24"/>
        </w:rPr>
        <w:t xml:space="preserve">Stage-by-stage notes worth knowing cold</w:t>
      </w:r>
    </w:p>
    <w:tbl>
      <w:tblPr>
        <w:tblW w:type="pct" w:w="100%"/>
        <w:tblBorders>
          <w:top w:val="single" w:color="D8CBB0" w:sz="4"/>
          <w:left w:val="single" w:color="D8CBB0" w:sz="4"/>
          <w:bottom w:val="single" w:color="D8CBB0" w:sz="4"/>
          <w:right w:val="single" w:color="D8CBB0" w:sz="4"/>
          <w:insideH w:val="single" w:color="D8CBB0" w:sz="4"/>
          <w:insideV w:val="single" w:color="D8CBB0" w:sz="4"/>
        </w:tblBorders>
      </w:tblPr>
      <w:tblGrid>
        <w:gridCol w:w="100"/>
        <w:gridCol w:w="100"/>
        <w:gridCol w:w="100"/>
        <w:gridCol w:w="100"/>
      </w:tblGrid>
      <w:tr>
        <w:trPr>
          <w:tblHeader/>
        </w:trPr>
        <w:tc>
          <w:tcPr>
            <w:tcW w:type="pct" w:w="17%"/>
            <w:shd w:fill="1C1917" w:val="clear"/>
            <w:tcMar>
              <w:top w:type="dxa" w:w="100"/>
              <w:left w:type="dxa" w:w="120"/>
              <w:bottom w:type="dxa" w:w="100"/>
              <w:right w:type="dxa" w:w="120"/>
            </w:tcMar>
            <w:vAlign w:val="center"/>
          </w:tcPr>
          <w:p>
            <w:r>
              <w:rPr>
                <w:b/>
                <w:bCs/>
                <w:color w:val="FFFFFF"/>
                <w:sz w:val="19"/>
                <w:szCs w:val="19"/>
              </w:rPr>
              <w:t xml:space="preserve">Stage</w:t>
            </w:r>
          </w:p>
        </w:tc>
        <w:tc>
          <w:tcPr>
            <w:tcW w:type="pct" w:w="20%"/>
            <w:shd w:fill="1C1917" w:val="clear"/>
            <w:tcMar>
              <w:top w:type="dxa" w:w="100"/>
              <w:left w:type="dxa" w:w="120"/>
              <w:bottom w:type="dxa" w:w="100"/>
              <w:right w:type="dxa" w:w="120"/>
            </w:tcMar>
            <w:vAlign w:val="center"/>
          </w:tcPr>
          <w:p>
            <w:r>
              <w:rPr>
                <w:b/>
                <w:bCs/>
                <w:color w:val="FFFFFF"/>
                <w:sz w:val="19"/>
                <w:szCs w:val="19"/>
              </w:rPr>
              <w:t xml:space="preserve">Sync/Async</w:t>
            </w:r>
          </w:p>
        </w:tc>
        <w:tc>
          <w:tcPr>
            <w:tcW w:type="pct" w:w="32%"/>
            <w:shd w:fill="1C1917" w:val="clear"/>
            <w:tcMar>
              <w:top w:type="dxa" w:w="100"/>
              <w:left w:type="dxa" w:w="120"/>
              <w:bottom w:type="dxa" w:w="100"/>
              <w:right w:type="dxa" w:w="120"/>
            </w:tcMar>
            <w:vAlign w:val="center"/>
          </w:tcPr>
          <w:p>
            <w:r>
              <w:rPr>
                <w:b/>
                <w:bCs/>
                <w:color w:val="FFFFFF"/>
                <w:sz w:val="19"/>
                <w:szCs w:val="19"/>
              </w:rPr>
              <w:t xml:space="preserve">Failure mode</w:t>
            </w:r>
          </w:p>
        </w:tc>
        <w:tc>
          <w:tcPr>
            <w:tcW w:type="pct" w:w="31%"/>
            <w:shd w:fill="1C1917" w:val="clear"/>
            <w:tcMar>
              <w:top w:type="dxa" w:w="100"/>
              <w:left w:type="dxa" w:w="120"/>
              <w:bottom w:type="dxa" w:w="100"/>
              <w:right w:type="dxa" w:w="120"/>
            </w:tcMar>
            <w:vAlign w:val="center"/>
          </w:tcPr>
          <w:p>
            <w:r>
              <w:rPr>
                <w:b/>
                <w:bCs/>
                <w:color w:val="FFFFFF"/>
                <w:sz w:val="19"/>
                <w:szCs w:val="19"/>
              </w:rPr>
              <w:t xml:space="preserve">Recovery</w:t>
            </w:r>
          </w:p>
        </w:tc>
      </w:tr>
      <w:tr>
        <w:tc>
          <w:tcPr>
            <w:tcW w:type="pct" w:w="17%"/>
            <w:tcMar>
              <w:top w:type="dxa" w:w="100"/>
              <w:left w:type="dxa" w:w="120"/>
              <w:bottom w:type="dxa" w:w="100"/>
              <w:right w:type="dxa" w:w="120"/>
            </w:tcMar>
            <w:vAlign w:val="center"/>
          </w:tcPr>
          <w:p>
            <w:r>
              <w:rPr>
                <w:sz w:val="20"/>
                <w:szCs w:val="20"/>
              </w:rPr>
              <w:t xml:space="preserve">ReplayEngine tick loop</w:t>
            </w:r>
          </w:p>
        </w:tc>
        <w:tc>
          <w:tcPr>
            <w:tcW w:type="pct" w:w="20%"/>
            <w:tcMar>
              <w:top w:type="dxa" w:w="100"/>
              <w:left w:type="dxa" w:w="120"/>
              <w:bottom w:type="dxa" w:w="100"/>
              <w:right w:type="dxa" w:w="120"/>
            </w:tcMar>
            <w:vAlign w:val="center"/>
          </w:tcPr>
          <w:p>
            <w:r>
              <w:rPr>
                <w:sz w:val="20"/>
                <w:szCs w:val="20"/>
              </w:rPr>
              <w:t xml:space="preserve">Dedicated threading.Thread, not asyncio</w:t>
            </w:r>
          </w:p>
        </w:tc>
        <w:tc>
          <w:tcPr>
            <w:tcW w:type="pct" w:w="32%"/>
            <w:tcMar>
              <w:top w:type="dxa" w:w="100"/>
              <w:left w:type="dxa" w:w="120"/>
              <w:bottom w:type="dxa" w:w="100"/>
              <w:right w:type="dxa" w:w="120"/>
            </w:tcMar>
            <w:vAlign w:val="center"/>
          </w:tcPr>
          <w:p>
            <w:r>
              <w:rPr>
                <w:sz w:val="20"/>
                <w:szCs w:val="20"/>
              </w:rPr>
              <w:t xml:space="preserve">Exception inside IngestPipeline.__call__ caught per-batch</w:t>
            </w:r>
          </w:p>
        </w:tc>
        <w:tc>
          <w:tcPr>
            <w:tcW w:type="pct" w:w="31%"/>
            <w:tcMar>
              <w:top w:type="dxa" w:w="100"/>
              <w:left w:type="dxa" w:w="120"/>
              <w:bottom w:type="dxa" w:w="100"/>
              <w:right w:type="dxa" w:w="120"/>
            </w:tcMar>
            <w:vAlign w:val="center"/>
          </w:tcPr>
          <w:p>
            <w:r>
              <w:rPr>
                <w:sz w:val="20"/>
                <w:szCs w:val="20"/>
              </w:rPr>
              <w:t xml:space="preserve">Logged + counted (consumer_error_count); thread keeps running</w:t>
            </w:r>
          </w:p>
        </w:tc>
      </w:tr>
      <w:tr>
        <w:tc>
          <w:tcPr>
            <w:tcW w:type="pct" w:w="17%"/>
            <w:shd w:fill="F5F0E8" w:val="clear"/>
            <w:tcMar>
              <w:top w:type="dxa" w:w="100"/>
              <w:left w:type="dxa" w:w="120"/>
              <w:bottom w:type="dxa" w:w="100"/>
              <w:right w:type="dxa" w:w="120"/>
            </w:tcMar>
            <w:vAlign w:val="center"/>
          </w:tcPr>
          <w:p>
            <w:r>
              <w:rPr>
                <w:sz w:val="20"/>
                <w:szCs w:val="20"/>
              </w:rPr>
              <w:t xml:space="preserve">Scoring (5 detectors + fusion)</w:t>
            </w:r>
          </w:p>
        </w:tc>
        <w:tc>
          <w:tcPr>
            <w:tcW w:type="pct" w:w="20%"/>
            <w:shd w:fill="F5F0E8" w:val="clear"/>
            <w:tcMar>
              <w:top w:type="dxa" w:w="100"/>
              <w:left w:type="dxa" w:w="120"/>
              <w:bottom w:type="dxa" w:w="100"/>
              <w:right w:type="dxa" w:w="120"/>
            </w:tcMar>
            <w:vAlign w:val="center"/>
          </w:tcPr>
          <w:p>
            <w:r>
              <w:rPr>
                <w:sz w:val="20"/>
                <w:szCs w:val="20"/>
              </w:rPr>
              <w:t xml:space="preserve">Synchronous, in the replay thread</w:t>
            </w:r>
          </w:p>
        </w:tc>
        <w:tc>
          <w:tcPr>
            <w:tcW w:type="pct" w:w="32%"/>
            <w:shd w:fill="F5F0E8" w:val="clear"/>
            <w:tcMar>
              <w:top w:type="dxa" w:w="100"/>
              <w:left w:type="dxa" w:w="120"/>
              <w:bottom w:type="dxa" w:w="100"/>
              <w:right w:type="dxa" w:w="120"/>
            </w:tcMar>
            <w:vAlign w:val="center"/>
          </w:tcPr>
          <w:p>
            <w:r>
              <w:rPr>
                <w:sz w:val="20"/>
                <w:szCs w:val="20"/>
              </w:rPr>
              <w:t xml:space="preserve">Model artifact fails to load at boot; hybrid detectors have no artifact to fail (rule/statistics-based, not fitted)</w:t>
            </w:r>
          </w:p>
        </w:tc>
        <w:tc>
          <w:tcPr>
            <w:tcW w:type="pct" w:w="31%"/>
            <w:shd w:fill="F5F0E8" w:val="clear"/>
            <w:tcMar>
              <w:top w:type="dxa" w:w="100"/>
              <w:left w:type="dxa" w:w="120"/>
              <w:bottom w:type="dxa" w:w="100"/>
              <w:right w:type="dxa" w:w="120"/>
            </w:tcMar>
            <w:vAlign w:val="center"/>
          </w:tcPr>
          <w:p>
            <w:r>
              <w:rPr>
                <w:sz w:val="20"/>
                <w:szCs w:val="20"/>
              </w:rPr>
              <w:t xml:space="preserve">App starts in documented “degraded mode” for the model-backed detectors; hybrid_enabled can be toggled off entirely without touching anything else</w:t>
            </w:r>
          </w:p>
        </w:tc>
      </w:tr>
      <w:tr>
        <w:tc>
          <w:tcPr>
            <w:tcW w:type="pct" w:w="17%"/>
            <w:tcMar>
              <w:top w:type="dxa" w:w="100"/>
              <w:left w:type="dxa" w:w="120"/>
              <w:bottom w:type="dxa" w:w="100"/>
              <w:right w:type="dxa" w:w="120"/>
            </w:tcMar>
            <w:vAlign w:val="center"/>
          </w:tcPr>
          <w:p>
            <w:r>
              <w:rPr>
                <w:sz w:val="20"/>
                <w:szCs w:val="20"/>
              </w:rPr>
              <w:t xml:space="preserve">DB write</w:t>
            </w:r>
          </w:p>
        </w:tc>
        <w:tc>
          <w:tcPr>
            <w:tcW w:type="pct" w:w="20%"/>
            <w:tcMar>
              <w:top w:type="dxa" w:w="100"/>
              <w:left w:type="dxa" w:w="120"/>
              <w:bottom w:type="dxa" w:w="100"/>
              <w:right w:type="dxa" w:w="120"/>
            </w:tcMar>
            <w:vAlign w:val="center"/>
          </w:tcPr>
          <w:p>
            <w:r>
              <w:rPr>
                <w:sz w:val="20"/>
                <w:szCs w:val="20"/>
              </w:rPr>
              <w:t xml:space="preserve">One transaction per micro-batch</w:t>
            </w:r>
          </w:p>
        </w:tc>
        <w:tc>
          <w:tcPr>
            <w:tcW w:type="pct" w:w="32%"/>
            <w:tcMar>
              <w:top w:type="dxa" w:w="100"/>
              <w:left w:type="dxa" w:w="120"/>
              <w:bottom w:type="dxa" w:w="100"/>
              <w:right w:type="dxa" w:w="120"/>
            </w:tcMar>
            <w:vAlign w:val="center"/>
          </w:tcPr>
          <w:p>
            <w:r>
              <w:rPr>
                <w:sz w:val="20"/>
                <w:szCs w:val="20"/>
              </w:rPr>
              <w:t xml:space="preserve">Write failure raises, propagates to engine's catch</w:t>
            </w:r>
          </w:p>
        </w:tc>
        <w:tc>
          <w:tcPr>
            <w:tcW w:type="pct" w:w="31%"/>
            <w:tcMar>
              <w:top w:type="dxa" w:w="100"/>
              <w:left w:type="dxa" w:w="120"/>
              <w:bottom w:type="dxa" w:w="100"/>
              <w:right w:type="dxa" w:w="120"/>
            </w:tcMar>
            <w:vAlign w:val="center"/>
          </w:tcPr>
          <w:p>
            <w:r>
              <w:rPr>
                <w:sz w:val="20"/>
                <w:szCs w:val="20"/>
              </w:rPr>
              <w:t xml:space="preserve">Committed events are durable; broadcast is attempted only after commit</w:t>
            </w:r>
          </w:p>
        </w:tc>
      </w:tr>
      <w:tr>
        <w:tc>
          <w:tcPr>
            <w:tcW w:type="pct" w:w="17%"/>
            <w:shd w:fill="F5F0E8" w:val="clear"/>
            <w:tcMar>
              <w:top w:type="dxa" w:w="100"/>
              <w:left w:type="dxa" w:w="120"/>
              <w:bottom w:type="dxa" w:w="100"/>
              <w:right w:type="dxa" w:w="120"/>
            </w:tcMar>
            <w:vAlign w:val="center"/>
          </w:tcPr>
          <w:p>
            <w:r>
              <w:rPr>
                <w:sz w:val="20"/>
                <w:szCs w:val="20"/>
              </w:rPr>
              <w:t xml:space="preserve">WS broadcast</w:t>
            </w:r>
          </w:p>
        </w:tc>
        <w:tc>
          <w:tcPr>
            <w:tcW w:type="pct" w:w="20%"/>
            <w:shd w:fill="F5F0E8" w:val="clear"/>
            <w:tcMar>
              <w:top w:type="dxa" w:w="100"/>
              <w:left w:type="dxa" w:w="120"/>
              <w:bottom w:type="dxa" w:w="100"/>
              <w:right w:type="dxa" w:w="120"/>
            </w:tcMar>
            <w:vAlign w:val="center"/>
          </w:tcPr>
          <w:p>
            <w:r>
              <w:rPr>
                <w:sz w:val="20"/>
                <w:szCs w:val="20"/>
              </w:rPr>
              <w:t xml:space="preserve">Cross-thread via call_soon_threadsafe</w:t>
            </w:r>
          </w:p>
        </w:tc>
        <w:tc>
          <w:tcPr>
            <w:tcW w:type="pct" w:w="32%"/>
            <w:shd w:fill="F5F0E8" w:val="clear"/>
            <w:tcMar>
              <w:top w:type="dxa" w:w="100"/>
              <w:left w:type="dxa" w:w="120"/>
              <w:bottom w:type="dxa" w:w="100"/>
              <w:right w:type="dxa" w:w="120"/>
            </w:tcMar>
            <w:vAlign w:val="center"/>
          </w:tcPr>
          <w:p>
            <w:r>
              <w:rPr>
                <w:sz w:val="20"/>
                <w:szCs w:val="20"/>
              </w:rPr>
              <w:t xml:space="preserve">Per-client queue overflow</w:t>
            </w:r>
          </w:p>
        </w:tc>
        <w:tc>
          <w:tcPr>
            <w:tcW w:type="pct" w:w="31%"/>
            <w:shd w:fill="F5F0E8" w:val="clear"/>
            <w:tcMar>
              <w:top w:type="dxa" w:w="100"/>
              <w:left w:type="dxa" w:w="120"/>
              <w:bottom w:type="dxa" w:w="100"/>
              <w:right w:type="dxa" w:w="120"/>
            </w:tcMar>
            <w:vAlign w:val="center"/>
          </w:tcPr>
          <w:p>
            <w:r>
              <w:rPr>
                <w:sz w:val="20"/>
                <w:szCs w:val="20"/>
              </w:rPr>
              <w:t xml:space="preserve">Oldest queued envelope dropped, not newest, plus counter + warning log</w:t>
            </w:r>
          </w:p>
        </w:tc>
      </w:tr>
      <w:tr>
        <w:tc>
          <w:tcPr>
            <w:tcW w:type="pct" w:w="17%"/>
            <w:tcMar>
              <w:top w:type="dxa" w:w="100"/>
              <w:left w:type="dxa" w:w="120"/>
              <w:bottom w:type="dxa" w:w="100"/>
              <w:right w:type="dxa" w:w="120"/>
            </w:tcMar>
            <w:vAlign w:val="center"/>
          </w:tcPr>
          <w:p>
            <w:r>
              <w:rPr>
                <w:sz w:val="20"/>
                <w:szCs w:val="20"/>
              </w:rPr>
              <w:t xml:space="preserve">CII broadcast (fixed this pass)</w:t>
            </w:r>
          </w:p>
        </w:tc>
        <w:tc>
          <w:tcPr>
            <w:tcW w:type="pct" w:w="20%"/>
            <w:tcMar>
              <w:top w:type="dxa" w:w="100"/>
              <w:left w:type="dxa" w:w="120"/>
              <w:bottom w:type="dxa" w:w="100"/>
              <w:right w:type="dxa" w:w="120"/>
            </w:tcMar>
            <w:vAlign w:val="center"/>
          </w:tcPr>
          <w:p>
            <w:r>
              <w:rPr>
                <w:sz w:val="20"/>
                <w:szCs w:val="20"/>
              </w:rPr>
              <w:t xml:space="preserve">Same transaction/broadcast boundary as above</w:t>
            </w:r>
          </w:p>
        </w:tc>
        <w:tc>
          <w:tcPr>
            <w:tcW w:type="pct" w:w="32%"/>
            <w:tcMar>
              <w:top w:type="dxa" w:w="100"/>
              <w:left w:type="dxa" w:w="120"/>
              <w:bottom w:type="dxa" w:w="100"/>
              <w:right w:type="dxa" w:w="120"/>
            </w:tcMar>
            <w:vAlign w:val="center"/>
          </w:tcPr>
          <w:p>
            <w:r>
              <w:rPr>
                <w:sz w:val="20"/>
                <w:szCs w:val="20"/>
              </w:rPr>
              <w:t xml:space="preserve">Was: broadcast skipped whenever the corresponding alert was debounced</w:t>
            </w:r>
          </w:p>
        </w:tc>
        <w:tc>
          <w:tcPr>
            <w:tcW w:type="pct" w:w="31%"/>
            <w:tcMar>
              <w:top w:type="dxa" w:w="100"/>
              <w:left w:type="dxa" w:w="120"/>
              <w:bottom w:type="dxa" w:w="100"/>
              <w:right w:type="dxa" w:w="120"/>
            </w:tcMar>
            <w:vAlign w:val="center"/>
          </w:tcPr>
          <w:p>
            <w:r>
              <w:rPr>
                <w:sz w:val="20"/>
                <w:szCs w:val="20"/>
              </w:rPr>
              <w:t xml:space="preserve">Now: broadcast fires whenever CII is computed for an existing-channel anomaly, independent of whether the alert itself pages anyone — verified live</w:t>
            </w:r>
          </w:p>
        </w:tc>
      </w:tr>
      <w:tr>
        <w:tc>
          <w:tcPr>
            <w:tcW w:type="pct" w:w="17%"/>
            <w:shd w:fill="F5F0E8" w:val="clear"/>
            <w:tcMar>
              <w:top w:type="dxa" w:w="100"/>
              <w:left w:type="dxa" w:w="120"/>
              <w:bottom w:type="dxa" w:w="100"/>
              <w:right w:type="dxa" w:w="120"/>
            </w:tcMar>
            <w:vAlign w:val="center"/>
          </w:tcPr>
          <w:p>
            <w:r>
              <w:rPr>
                <w:sz w:val="20"/>
                <w:szCs w:val="20"/>
              </w:rPr>
              <w:t xml:space="preserve">Frontend WS client</w:t>
            </w:r>
          </w:p>
        </w:tc>
        <w:tc>
          <w:tcPr>
            <w:tcW w:type="pct" w:w="20%"/>
            <w:shd w:fill="F5F0E8" w:val="clear"/>
            <w:tcMar>
              <w:top w:type="dxa" w:w="100"/>
              <w:left w:type="dxa" w:w="120"/>
              <w:bottom w:type="dxa" w:w="100"/>
              <w:right w:type="dxa" w:w="120"/>
            </w:tcMar>
            <w:vAlign w:val="center"/>
          </w:tcPr>
          <w:p>
            <w:r>
              <w:rPr>
                <w:sz w:val="20"/>
                <w:szCs w:val="20"/>
              </w:rPr>
              <w:t xml:space="preserve">Single shared connection per tab via StreamProvider</w:t>
            </w:r>
          </w:p>
        </w:tc>
        <w:tc>
          <w:tcPr>
            <w:tcW w:type="pct" w:w="32%"/>
            <w:shd w:fill="F5F0E8" w:val="clear"/>
            <w:tcMar>
              <w:top w:type="dxa" w:w="100"/>
              <w:left w:type="dxa" w:w="120"/>
              <w:bottom w:type="dxa" w:w="100"/>
              <w:right w:type="dxa" w:w="120"/>
            </w:tcMar>
            <w:vAlign w:val="center"/>
          </w:tcPr>
          <w:p>
            <w:r>
              <w:rPr>
                <w:sz w:val="20"/>
                <w:szCs w:val="20"/>
              </w:rPr>
              <w:t xml:space="preserve">Disconnect</w:t>
            </w:r>
          </w:p>
        </w:tc>
        <w:tc>
          <w:tcPr>
            <w:tcW w:type="pct" w:w="31%"/>
            <w:shd w:fill="F5F0E8" w:val="clear"/>
            <w:tcMar>
              <w:top w:type="dxa" w:w="100"/>
              <w:left w:type="dxa" w:w="120"/>
              <w:bottom w:type="dxa" w:w="100"/>
              <w:right w:type="dxa" w:w="120"/>
            </w:tcMar>
            <w:vAlign w:val="center"/>
          </w:tcPr>
          <w:p>
            <w:r>
              <w:rPr>
                <w:sz w:val="20"/>
                <w:szCs w:val="20"/>
              </w:rPr>
              <w:t xml:space="preserve">Exponential backoff reconnect, 1s → 15s cap, WITH gap-fill via GET /api/events?since= — this was already correct, restated here since the first edition's own architecture table listed it as a gap that does not match the actual </w:t>
            </w:r>
            <w:r>
              <w:rPr>
                <w:rFonts w:ascii="Consolas" w:cs="Consolas" w:eastAsia="Consolas" w:hAnsi="Consolas"/>
                <w:sz w:val="20"/>
                <w:szCs w:val="20"/>
              </w:rPr>
              <w:t xml:space="preserve">useEventStream.ts</w:t>
            </w:r>
            <w:r>
              <w:rPr>
                <w:sz w:val="20"/>
                <w:szCs w:val="20"/>
              </w:rPr>
              <w:t xml:space="preserve"> reconnect handler</w:t>
            </w:r>
          </w:p>
        </w:tc>
      </w:tr>
    </w:tbl>
    <w:p>
      <w:pPr>
        <w:pStyle w:val="Heading2"/>
        <w:spacing w:after="120" w:before="320"/>
      </w:pPr>
      <w:r>
        <w:rPr>
          <w:b/>
          <w:bCs/>
          <w:sz w:val="24"/>
          <w:szCs w:val="24"/>
        </w:rPr>
        <w:t xml:space="preserve">Single points of failure</w:t>
      </w:r>
    </w:p>
    <w:p>
      <w:pPr>
        <w:pStyle w:val="ListParagraph"/>
        <w:numPr>
          <w:ilvl w:val="0"/>
          <w:numId w:val="1"/>
        </w:numPr>
        <w:spacing w:after="80" w:line="264"/>
      </w:pPr>
      <w:r>
        <w:t xml:space="preserve">Exactly one ReplayEngine instance per process — no pool, no failover. Unchanged this pass; the new </w:t>
      </w:r>
      <w:r>
        <w:rPr>
          <w:b/>
          <w:bCs/>
        </w:rPr>
        <w:t xml:space="preserve">restart-replay</w:t>
      </w:r>
      <w:r>
        <w:t xml:space="preserve"> button gives an operator an explicit UI recovery path when the replay data itself runs out, but does not change the underlying single-instance architecture.</w:t>
      </w:r>
    </w:p>
    <w:p>
      <w:pPr>
        <w:pStyle w:val="ListParagraph"/>
        <w:numPr>
          <w:ilvl w:val="0"/>
          <w:numId w:val="1"/>
        </w:numPr>
        <w:spacing w:after="80" w:line="264"/>
      </w:pPr>
      <w:r>
        <w:t xml:space="preserve">One Postgres instance, no read replica, no backup/restore story documented.</w:t>
      </w:r>
    </w:p>
    <w:p>
      <w:pPr>
        <w:pStyle w:val="ListParagraph"/>
        <w:numPr>
          <w:ilvl w:val="0"/>
          <w:numId w:val="1"/>
        </w:numPr>
        <w:spacing w:after="80" w:line="264"/>
      </w:pPr>
      <w:r>
        <w:t xml:space="preserve">The DB engine's lazy singleton init has an unguarded check-then-set race (db.py) — benign in practice, unchanged, still a real citable code smell if a judge goes looking.</w:t>
      </w:r>
    </w:p>
    <w:p>
      <w:pPr>
        <w:pStyle w:val="Heading1"/>
        <w:pBdr>
          <w:bottom w:val="single" w:color="B45309" w:sz="12" w:space="4"/>
        </w:pBdr>
        <w:spacing w:after="200" w:before="480"/>
      </w:pPr>
      <w:r>
        <w:rPr>
          <w:b/>
          <w:bCs/>
          <w:color w:val="B45309"/>
          <w:sz w:val="30"/>
          <w:szCs w:val="30"/>
        </w:rPr>
        <w:t xml:space="preserve">PART 6 — Data Audit</w:t>
      </w:r>
    </w:p>
    <w:p>
      <w:pPr>
        <w:pStyle w:val="Heading2"/>
        <w:spacing w:after="120" w:before="320"/>
      </w:pPr>
      <w:r>
        <w:rPr>
          <w:b/>
          <w:bCs/>
          <w:sz w:val="24"/>
          <w:szCs w:val="24"/>
        </w:rPr>
        <w:t xml:space="preserve">The three real datasets — precisely, because “real vs. synthetic” is not binary here</w:t>
      </w:r>
    </w:p>
    <w:tbl>
      <w:tblPr>
        <w:tblW w:type="pct" w:w="100%"/>
        <w:tblBorders>
          <w:top w:val="single" w:color="D8CBB0" w:sz="4"/>
          <w:left w:val="single" w:color="D8CBB0" w:sz="4"/>
          <w:bottom w:val="single" w:color="D8CBB0" w:sz="4"/>
          <w:right w:val="single" w:color="D8CBB0" w:sz="4"/>
          <w:insideH w:val="single" w:color="D8CBB0" w:sz="4"/>
          <w:insideV w:val="single" w:color="D8CBB0" w:sz="4"/>
        </w:tblBorders>
      </w:tblPr>
      <w:tblGrid>
        <w:gridCol w:w="100"/>
        <w:gridCol w:w="100"/>
        <w:gridCol w:w="100"/>
        <w:gridCol w:w="100"/>
      </w:tblGrid>
      <w:tr>
        <w:trPr>
          <w:tblHeader/>
        </w:trPr>
        <w:tc>
          <w:tcPr>
            <w:tcW w:type="pct" w:w="24%"/>
            <w:shd w:fill="1C1917" w:val="clear"/>
            <w:tcMar>
              <w:top w:type="dxa" w:w="100"/>
              <w:left w:type="dxa" w:w="120"/>
              <w:bottom w:type="dxa" w:w="100"/>
              <w:right w:type="dxa" w:w="120"/>
            </w:tcMar>
            <w:vAlign w:val="center"/>
          </w:tcPr>
          <w:p>
            <w:r>
              <w:rPr>
                <w:b/>
                <w:bCs/>
                <w:color w:val="FFFFFF"/>
                <w:sz w:val="19"/>
                <w:szCs w:val="19"/>
              </w:rPr>
              <w:t xml:space="preserve">Dataset</w:t>
            </w:r>
          </w:p>
        </w:tc>
        <w:tc>
          <w:tcPr>
            <w:tcW w:type="pct" w:w="20%"/>
            <w:shd w:fill="1C1917" w:val="clear"/>
            <w:tcMar>
              <w:top w:type="dxa" w:w="100"/>
              <w:left w:type="dxa" w:w="120"/>
              <w:bottom w:type="dxa" w:w="100"/>
              <w:right w:type="dxa" w:w="120"/>
            </w:tcMar>
            <w:vAlign w:val="center"/>
          </w:tcPr>
          <w:p>
            <w:r>
              <w:rPr>
                <w:b/>
                <w:bCs/>
                <w:color w:val="FFFFFF"/>
                <w:sz w:val="19"/>
                <w:szCs w:val="19"/>
              </w:rPr>
              <w:t xml:space="preserve">Real or not</w:t>
            </w:r>
          </w:p>
        </w:tc>
        <w:tc>
          <w:tcPr>
            <w:tcW w:type="pct" w:w="40%"/>
            <w:shd w:fill="1C1917" w:val="clear"/>
            <w:tcMar>
              <w:top w:type="dxa" w:w="100"/>
              <w:left w:type="dxa" w:w="120"/>
              <w:bottom w:type="dxa" w:w="100"/>
              <w:right w:type="dxa" w:w="120"/>
            </w:tcMar>
            <w:vAlign w:val="center"/>
          </w:tcPr>
          <w:p>
            <w:r>
              <w:rPr>
                <w:b/>
                <w:bCs/>
                <w:color w:val="FFFFFF"/>
                <w:sz w:val="19"/>
                <w:szCs w:val="19"/>
              </w:rPr>
              <w:t xml:space="preserve">Nuance</w:t>
            </w:r>
          </w:p>
        </w:tc>
        <w:tc>
          <w:tcPr>
            <w:tcW w:type="pct" w:w="16%"/>
            <w:shd w:fill="1C1917" w:val="clear"/>
            <w:tcMar>
              <w:top w:type="dxa" w:w="100"/>
              <w:left w:type="dxa" w:w="120"/>
              <w:bottom w:type="dxa" w:w="100"/>
              <w:right w:type="dxa" w:w="120"/>
            </w:tcMar>
            <w:vAlign w:val="center"/>
          </w:tcPr>
          <w:p>
            <w:r>
              <w:rPr>
                <w:b/>
                <w:bCs/>
                <w:color w:val="FFFFFF"/>
                <w:sz w:val="19"/>
                <w:szCs w:val="19"/>
              </w:rPr>
              <w:t xml:space="preserve">License</w:t>
            </w:r>
          </w:p>
        </w:tc>
      </w:tr>
      <w:tr>
        <w:tc>
          <w:tcPr>
            <w:tcW w:type="pct" w:w="24%"/>
            <w:tcMar>
              <w:top w:type="dxa" w:w="100"/>
              <w:left w:type="dxa" w:w="120"/>
              <w:bottom w:type="dxa" w:w="100"/>
              <w:right w:type="dxa" w:w="120"/>
            </w:tcMar>
            <w:vAlign w:val="center"/>
          </w:tcPr>
          <w:p>
            <w:r>
              <w:rPr>
                <w:sz w:val="20"/>
                <w:szCs w:val="20"/>
              </w:rPr>
              <w:t xml:space="preserve">CIC-IDS2017 — TrafficLabelling variant</w:t>
            </w:r>
          </w:p>
        </w:tc>
        <w:tc>
          <w:tcPr>
            <w:tcW w:type="pct" w:w="20%"/>
            <w:tcMar>
              <w:top w:type="dxa" w:w="100"/>
              <w:left w:type="dxa" w:w="120"/>
              <w:bottom w:type="dxa" w:w="100"/>
              <w:right w:type="dxa" w:w="120"/>
            </w:tcMar>
            <w:vAlign w:val="center"/>
          </w:tcPr>
          <w:p>
            <w:r>
              <w:rPr>
                <w:sz w:val="20"/>
                <w:szCs w:val="20"/>
              </w:rPr>
              <w:t xml:space="preserve">Fully real</w:t>
            </w:r>
          </w:p>
        </w:tc>
        <w:tc>
          <w:tcPr>
            <w:tcW w:type="pct" w:w="40%"/>
            <w:tcMar>
              <w:top w:type="dxa" w:w="100"/>
              <w:left w:type="dxa" w:w="120"/>
              <w:bottom w:type="dxa" w:w="100"/>
              <w:right w:type="dxa" w:w="120"/>
            </w:tcMar>
            <w:vAlign w:val="center"/>
          </w:tcPr>
          <w:p>
            <w:r>
              <w:rPr>
                <w:sz w:val="20"/>
                <w:szCs w:val="20"/>
              </w:rPr>
              <w:t xml:space="preserve">85-column variant with genuine captured IPs/timestamps (12h clock, requires correction). Used by the live Operations Console replay path. 3.2 GB across 8 days.</w:t>
            </w:r>
          </w:p>
        </w:tc>
        <w:tc>
          <w:tcPr>
            <w:tcW w:type="pct" w:w="16%"/>
            <w:tcMar>
              <w:top w:type="dxa" w:w="100"/>
              <w:left w:type="dxa" w:w="120"/>
              <w:bottom w:type="dxa" w:w="100"/>
              <w:right w:type="dxa" w:w="120"/>
            </w:tcMar>
            <w:vAlign w:val="center"/>
          </w:tcPr>
          <w:p>
            <w:r>
              <w:rPr>
                <w:sz w:val="20"/>
                <w:szCs w:val="20"/>
              </w:rPr>
              <w:t xml:space="preserve">CC BY 4.0</w:t>
            </w:r>
          </w:p>
        </w:tc>
      </w:tr>
      <w:tr>
        <w:tc>
          <w:tcPr>
            <w:tcW w:type="pct" w:w="24%"/>
            <w:shd w:fill="F5F0E8" w:val="clear"/>
            <w:tcMar>
              <w:top w:type="dxa" w:w="100"/>
              <w:left w:type="dxa" w:w="120"/>
              <w:bottom w:type="dxa" w:w="100"/>
              <w:right w:type="dxa" w:w="120"/>
            </w:tcMar>
            <w:vAlign w:val="center"/>
          </w:tcPr>
          <w:p>
            <w:r>
              <w:rPr>
                <w:sz w:val="20"/>
                <w:szCs w:val="20"/>
              </w:rPr>
              <w:t xml:space="preserve">CIC-IDS2017 — MachineLearningCVE variant</w:t>
            </w:r>
          </w:p>
        </w:tc>
        <w:tc>
          <w:tcPr>
            <w:tcW w:type="pct" w:w="20%"/>
            <w:shd w:fill="F5F0E8" w:val="clear"/>
            <w:tcMar>
              <w:top w:type="dxa" w:w="100"/>
              <w:left w:type="dxa" w:w="120"/>
              <w:bottom w:type="dxa" w:w="100"/>
              <w:right w:type="dxa" w:w="120"/>
            </w:tcMar>
            <w:vAlign w:val="center"/>
          </w:tcPr>
          <w:p>
            <w:r>
              <w:rPr>
                <w:sz w:val="20"/>
                <w:szCs w:val="20"/>
              </w:rPr>
              <w:t xml:space="preserve">Partially synthetic — features/labels real, IPs are not</w:t>
            </w:r>
          </w:p>
        </w:tc>
        <w:tc>
          <w:tcPr>
            <w:tcW w:type="pct" w:w="40%"/>
            <w:shd w:fill="F5F0E8" w:val="clear"/>
            <w:tcMar>
              <w:top w:type="dxa" w:w="100"/>
              <w:left w:type="dxa" w:w="120"/>
              <w:bottom w:type="dxa" w:w="100"/>
              <w:right w:type="dxa" w:w="120"/>
            </w:tcMar>
            <w:vAlign w:val="center"/>
          </w:tcPr>
          <w:p>
            <w:r>
              <w:rPr>
                <w:sz w:val="20"/>
                <w:szCs w:val="20"/>
              </w:rPr>
              <w:t xml:space="preserve">This 79-column derived CSV has no IP/timestamp columns. The Research Console adapter assigns a fixed “representative” external IP to every alert row.</w:t>
            </w:r>
          </w:p>
        </w:tc>
        <w:tc>
          <w:tcPr>
            <w:tcW w:type="pct" w:w="16%"/>
            <w:shd w:fill="F5F0E8" w:val="clear"/>
            <w:tcMar>
              <w:top w:type="dxa" w:w="100"/>
              <w:left w:type="dxa" w:w="120"/>
              <w:bottom w:type="dxa" w:w="100"/>
              <w:right w:type="dxa" w:w="120"/>
            </w:tcMar>
            <w:vAlign w:val="center"/>
          </w:tcPr>
          <w:p>
            <w:r>
              <w:rPr>
                <w:sz w:val="20"/>
                <w:szCs w:val="20"/>
              </w:rPr>
              <w:t xml:space="preserve">CC BY 4.0</w:t>
            </w:r>
          </w:p>
        </w:tc>
      </w:tr>
      <w:tr>
        <w:tc>
          <w:tcPr>
            <w:tcW w:type="pct" w:w="24%"/>
            <w:tcMar>
              <w:top w:type="dxa" w:w="100"/>
              <w:left w:type="dxa" w:w="120"/>
              <w:bottom w:type="dxa" w:w="100"/>
              <w:right w:type="dxa" w:w="120"/>
            </w:tcMar>
            <w:vAlign w:val="center"/>
          </w:tcPr>
          <w:p>
            <w:r>
              <w:rPr>
                <w:sz w:val="20"/>
                <w:szCs w:val="20"/>
              </w:rPr>
              <w:t xml:space="preserve">PaySim</w:t>
            </w:r>
          </w:p>
        </w:tc>
        <w:tc>
          <w:tcPr>
            <w:tcW w:type="pct" w:w="20%"/>
            <w:tcMar>
              <w:top w:type="dxa" w:w="100"/>
              <w:left w:type="dxa" w:w="120"/>
              <w:bottom w:type="dxa" w:w="100"/>
              <w:right w:type="dxa" w:w="120"/>
            </w:tcMar>
            <w:vAlign w:val="center"/>
          </w:tcPr>
          <w:p>
            <w:r>
              <w:rPr>
                <w:sz w:val="20"/>
                <w:szCs w:val="20"/>
              </w:rPr>
              <w:t xml:space="preserve">Simulated by its own authors, real published research dataset</w:t>
            </w:r>
          </w:p>
        </w:tc>
        <w:tc>
          <w:tcPr>
            <w:tcW w:type="pct" w:w="40%"/>
            <w:tcMar>
              <w:top w:type="dxa" w:w="100"/>
              <w:left w:type="dxa" w:w="120"/>
              <w:bottom w:type="dxa" w:w="100"/>
              <w:right w:type="dxa" w:w="120"/>
            </w:tcMar>
            <w:vAlign w:val="center"/>
          </w:tcPr>
          <w:p>
            <w:r>
              <w:rPr>
                <w:sz w:val="20"/>
                <w:szCs w:val="20"/>
              </w:rPr>
              <w:t xml:space="preserve">Not a live financial feed — an agent-based simulation calibrated to real fraud patterns.</w:t>
            </w:r>
          </w:p>
        </w:tc>
        <w:tc>
          <w:tcPr>
            <w:tcW w:type="pct" w:w="16%"/>
            <w:tcMar>
              <w:top w:type="dxa" w:w="100"/>
              <w:left w:type="dxa" w:w="120"/>
              <w:bottom w:type="dxa" w:w="100"/>
              <w:right w:type="dxa" w:w="120"/>
            </w:tcMar>
            <w:vAlign w:val="center"/>
          </w:tcPr>
          <w:p>
            <w:r>
              <w:rPr>
                <w:sz w:val="20"/>
                <w:szCs w:val="20"/>
              </w:rPr>
              <w:t xml:space="preserve">CC BY-SA 4.0</w:t>
            </w:r>
          </w:p>
        </w:tc>
      </w:tr>
      <w:tr>
        <w:tc>
          <w:tcPr>
            <w:tcW w:type="pct" w:w="24%"/>
            <w:shd w:fill="F5F0E8" w:val="clear"/>
            <w:tcMar>
              <w:top w:type="dxa" w:w="100"/>
              <w:left w:type="dxa" w:w="120"/>
              <w:bottom w:type="dxa" w:w="100"/>
              <w:right w:type="dxa" w:w="120"/>
            </w:tcMar>
            <w:vAlign w:val="center"/>
          </w:tcPr>
          <w:p>
            <w:r>
              <w:rPr>
                <w:sz w:val="20"/>
                <w:szCs w:val="20"/>
              </w:rPr>
              <w:t xml:space="preserve">SWaT</w:t>
            </w:r>
          </w:p>
        </w:tc>
        <w:tc>
          <w:tcPr>
            <w:tcW w:type="pct" w:w="20%"/>
            <w:shd w:fill="F5F0E8" w:val="clear"/>
            <w:tcMar>
              <w:top w:type="dxa" w:w="100"/>
              <w:left w:type="dxa" w:w="120"/>
              <w:bottom w:type="dxa" w:w="100"/>
              <w:right w:type="dxa" w:w="120"/>
            </w:tcMar>
            <w:vAlign w:val="center"/>
          </w:tcPr>
          <w:p>
            <w:r>
              <w:rPr>
                <w:sz w:val="20"/>
                <w:szCs w:val="20"/>
              </w:rPr>
              <w:t xml:space="preserve">Fully real</w:t>
            </w:r>
          </w:p>
        </w:tc>
        <w:tc>
          <w:tcPr>
            <w:tcW w:type="pct" w:w="40%"/>
            <w:shd w:fill="F5F0E8" w:val="clear"/>
            <w:tcMar>
              <w:top w:type="dxa" w:w="100"/>
              <w:left w:type="dxa" w:w="120"/>
              <w:bottom w:type="dxa" w:w="100"/>
              <w:right w:type="dxa" w:w="120"/>
            </w:tcMar>
            <w:vAlign w:val="center"/>
          </w:tcPr>
          <w:p>
            <w:r>
              <w:rPr>
                <w:sz w:val="20"/>
                <w:szCs w:val="20"/>
              </w:rPr>
              <w:t xml:space="preserve">Genuine physical testbed (water treatment), real PLC/sensor telemetry, real attack injections by the SUTD research team. Restricted access.</w:t>
            </w:r>
          </w:p>
        </w:tc>
        <w:tc>
          <w:tcPr>
            <w:tcW w:type="pct" w:w="16%"/>
            <w:shd w:fill="F5F0E8" w:val="clear"/>
            <w:tcMar>
              <w:top w:type="dxa" w:w="100"/>
              <w:left w:type="dxa" w:w="120"/>
              <w:bottom w:type="dxa" w:w="100"/>
              <w:right w:type="dxa" w:w="120"/>
            </w:tcMar>
            <w:vAlign w:val="center"/>
          </w:tcPr>
          <w:p>
            <w:r>
              <w:rPr>
                <w:sz w:val="20"/>
                <w:szCs w:val="20"/>
              </w:rPr>
              <w:t xml:space="preserve">iTrust research data-use agreement</w:t>
            </w:r>
          </w:p>
        </w:tc>
      </w:tr>
    </w:tbl>
    <w:p>
      <w:pPr>
        <w:spacing w:after="140" w:line="276"/>
      </w:pPr>
      <w:r>
        <w:rPr>
          <w:b/>
          <w:bCs/>
          <w:color w:val="15803D"/>
          <w:sz w:val="19"/>
          <w:szCs w:val="19"/>
        </w:rPr>
        <w:t xml:space="preserve">[FACT] </w:t>
      </w:r>
      <w:r>
        <w:t xml:space="preserve">The precise, defensible claim is not “we never use synthetic data anywhere” — it's “nothing in the live Operations Console path is fabricated: real captured CIC-IDS2017 traffic, replayed in true order, and injections are re-targeted real historical attack flows, never invented ones.” This is unchanged and remains the correct framing.</w:t>
      </w:r>
    </w:p>
    <w:p>
      <w:pPr>
        <w:pStyle w:val="Heading2"/>
        <w:spacing w:after="120" w:before="320"/>
      </w:pPr>
      <w:r>
        <w:rPr>
          <w:b/>
          <w:bCs/>
          <w:sz w:val="24"/>
          <w:szCs w:val="24"/>
        </w:rPr>
        <w:t xml:space="preserve">Canonical schema (v2.0, current)</w:t>
      </w:r>
    </w:p>
    <w:p>
      <w:pPr>
        <w:spacing w:after="140" w:line="276"/>
      </w:pPr>
      <w:r>
        <w:t xml:space="preserve">17 columns — unchanged this pass: timestamp, source_asset_id, destination_asset_id, protocol, payload_size, action, zone, process_or_service, attck_evidence, raw_anomaly_score, calibrated_alert_level, provenance, confidence, schema_version, signal_type, observed_at, purdue_level, plus three non-canonical ML-feature columns adapters may attach (duration_sec, packets, bytes).</w:t>
      </w:r>
    </w:p>
    <w:p>
      <w:pPr>
        <w:pStyle w:val="Heading2"/>
        <w:spacing w:after="120" w:before="320"/>
      </w:pPr>
      <w:r>
        <w:rPr>
          <w:b/>
          <w:bCs/>
          <w:sz w:val="24"/>
          <w:szCs w:val="24"/>
        </w:rPr>
        <w:t xml:space="preserve">Asset resolution — the exact confidence ladder (unchanged this pass)</w:t>
      </w:r>
    </w:p>
    <w:tbl>
      <w:tblPr>
        <w:tblW w:type="pct" w:w="100%"/>
        <w:tblBorders>
          <w:top w:val="single" w:color="D8CBB0" w:sz="4"/>
          <w:left w:val="single" w:color="D8CBB0" w:sz="4"/>
          <w:bottom w:val="single" w:color="D8CBB0" w:sz="4"/>
          <w:right w:val="single" w:color="D8CBB0" w:sz="4"/>
          <w:insideH w:val="single" w:color="D8CBB0" w:sz="4"/>
          <w:insideV w:val="single" w:color="D8CBB0" w:sz="4"/>
        </w:tblBorders>
      </w:tblPr>
      <w:tblGrid>
        <w:gridCol w:w="100"/>
        <w:gridCol w:w="100"/>
        <w:gridCol w:w="100"/>
      </w:tblGrid>
      <w:tr>
        <w:trPr>
          <w:tblHeader/>
        </w:trPr>
        <w:tc>
          <w:tcPr>
            <w:tcW w:type="pct" w:w="12%"/>
            <w:shd w:fill="1C1917" w:val="clear"/>
            <w:tcMar>
              <w:top w:type="dxa" w:w="100"/>
              <w:left w:type="dxa" w:w="120"/>
              <w:bottom w:type="dxa" w:w="100"/>
              <w:right w:type="dxa" w:w="120"/>
            </w:tcMar>
            <w:vAlign w:val="center"/>
          </w:tcPr>
          <w:p>
            <w:r>
              <w:rPr>
                <w:b/>
                <w:bCs/>
                <w:color w:val="FFFFFF"/>
                <w:sz w:val="19"/>
                <w:szCs w:val="19"/>
              </w:rPr>
              <w:t xml:space="preserve">Tier</w:t>
            </w:r>
          </w:p>
        </w:tc>
        <w:tc>
          <w:tcPr>
            <w:tcW w:type="pct" w:w="60%"/>
            <w:shd w:fill="1C1917" w:val="clear"/>
            <w:tcMar>
              <w:top w:type="dxa" w:w="100"/>
              <w:left w:type="dxa" w:w="120"/>
              <w:bottom w:type="dxa" w:w="100"/>
              <w:right w:type="dxa" w:w="120"/>
            </w:tcMar>
            <w:vAlign w:val="center"/>
          </w:tcPr>
          <w:p>
            <w:r>
              <w:rPr>
                <w:b/>
                <w:bCs/>
                <w:color w:val="FFFFFF"/>
                <w:sz w:val="19"/>
                <w:szCs w:val="19"/>
              </w:rPr>
              <w:t xml:space="preserve">Match rule</w:t>
            </w:r>
          </w:p>
        </w:tc>
        <w:tc>
          <w:tcPr>
            <w:tcW w:type="pct" w:w="28%"/>
            <w:shd w:fill="1C1917" w:val="clear"/>
            <w:tcMar>
              <w:top w:type="dxa" w:w="100"/>
              <w:left w:type="dxa" w:w="120"/>
              <w:bottom w:type="dxa" w:w="100"/>
              <w:right w:type="dxa" w:w="120"/>
            </w:tcMar>
            <w:vAlign w:val="center"/>
          </w:tcPr>
          <w:p>
            <w:r>
              <w:rPr>
                <w:b/>
                <w:bCs/>
                <w:color w:val="FFFFFF"/>
                <w:sz w:val="19"/>
                <w:szCs w:val="19"/>
              </w:rPr>
              <w:t xml:space="preserve">Confidence</w:t>
            </w:r>
          </w:p>
        </w:tc>
      </w:tr>
      <w:tr>
        <w:tc>
          <w:tcPr>
            <w:tcW w:type="pct" w:w="12%"/>
            <w:tcMar>
              <w:top w:type="dxa" w:w="100"/>
              <w:left w:type="dxa" w:w="120"/>
              <w:bottom w:type="dxa" w:w="100"/>
              <w:right w:type="dxa" w:w="120"/>
            </w:tcMar>
            <w:vAlign w:val="center"/>
          </w:tcPr>
          <w:p>
            <w:r>
              <w:rPr>
                <w:sz w:val="20"/>
                <w:szCs w:val="20"/>
              </w:rPr>
              <w:t xml:space="preserve">1</w:t>
            </w:r>
          </w:p>
        </w:tc>
        <w:tc>
          <w:tcPr>
            <w:tcW w:type="pct" w:w="60%"/>
            <w:tcMar>
              <w:top w:type="dxa" w:w="100"/>
              <w:left w:type="dxa" w:w="120"/>
              <w:bottom w:type="dxa" w:w="100"/>
              <w:right w:type="dxa" w:w="120"/>
            </w:tcMar>
            <w:vAlign w:val="center"/>
          </w:tcPr>
          <w:p>
            <w:r>
              <w:rPr>
                <w:sz w:val="20"/>
                <w:szCs w:val="20"/>
              </w:rPr>
              <w:t xml:space="preserve">Exact static name/IP match against curated topology</w:t>
            </w:r>
          </w:p>
        </w:tc>
        <w:tc>
          <w:tcPr>
            <w:tcW w:type="pct" w:w="28%"/>
            <w:tcMar>
              <w:top w:type="dxa" w:w="100"/>
              <w:left w:type="dxa" w:w="120"/>
              <w:bottom w:type="dxa" w:w="100"/>
              <w:right w:type="dxa" w:w="120"/>
            </w:tcMar>
            <w:vAlign w:val="center"/>
          </w:tcPr>
          <w:p>
            <w:r>
              <w:rPr>
                <w:sz w:val="20"/>
                <w:szCs w:val="20"/>
              </w:rPr>
              <w:t xml:space="preserve">1.0</w:t>
            </w:r>
          </w:p>
        </w:tc>
      </w:tr>
      <w:tr>
        <w:tc>
          <w:tcPr>
            <w:tcW w:type="pct" w:w="12%"/>
            <w:shd w:fill="F5F0E8" w:val="clear"/>
            <w:tcMar>
              <w:top w:type="dxa" w:w="100"/>
              <w:left w:type="dxa" w:w="120"/>
              <w:bottom w:type="dxa" w:w="100"/>
              <w:right w:type="dxa" w:w="120"/>
            </w:tcMar>
            <w:vAlign w:val="center"/>
          </w:tcPr>
          <w:p>
            <w:r>
              <w:rPr>
                <w:sz w:val="20"/>
                <w:szCs w:val="20"/>
              </w:rPr>
              <w:t xml:space="preserve">2</w:t>
            </w:r>
          </w:p>
        </w:tc>
        <w:tc>
          <w:tcPr>
            <w:tcW w:type="pct" w:w="60%"/>
            <w:shd w:fill="F5F0E8" w:val="clear"/>
            <w:tcMar>
              <w:top w:type="dxa" w:w="100"/>
              <w:left w:type="dxa" w:w="120"/>
              <w:bottom w:type="dxa" w:w="100"/>
              <w:right w:type="dxa" w:w="120"/>
            </w:tcMar>
            <w:vAlign w:val="center"/>
          </w:tcPr>
          <w:p>
            <w:r>
              <w:rPr>
                <w:sz w:val="20"/>
                <w:szCs w:val="20"/>
              </w:rPr>
              <w:t xml:space="preserve">PaySim ^C\d+$ customer prefix → Payment Gateway; ^M\d+$ merchant prefix → Bank Partner API</w:t>
            </w:r>
          </w:p>
        </w:tc>
        <w:tc>
          <w:tcPr>
            <w:tcW w:type="pct" w:w="28%"/>
            <w:shd w:fill="F5F0E8" w:val="clear"/>
            <w:tcMar>
              <w:top w:type="dxa" w:w="100"/>
              <w:left w:type="dxa" w:w="120"/>
              <w:bottom w:type="dxa" w:w="100"/>
              <w:right w:type="dxa" w:w="120"/>
            </w:tcMar>
            <w:vAlign w:val="center"/>
          </w:tcPr>
          <w:p>
            <w:r>
              <w:rPr>
                <w:sz w:val="20"/>
                <w:szCs w:val="20"/>
              </w:rPr>
              <w:t xml:space="preserve">0.85</w:t>
            </w:r>
          </w:p>
        </w:tc>
      </w:tr>
      <w:tr>
        <w:tc>
          <w:tcPr>
            <w:tcW w:type="pct" w:w="12%"/>
            <w:tcMar>
              <w:top w:type="dxa" w:w="100"/>
              <w:left w:type="dxa" w:w="120"/>
              <w:bottom w:type="dxa" w:w="100"/>
              <w:right w:type="dxa" w:w="120"/>
            </w:tcMar>
            <w:vAlign w:val="center"/>
          </w:tcPr>
          <w:p>
            <w:r>
              <w:rPr>
                <w:sz w:val="20"/>
                <w:szCs w:val="20"/>
              </w:rPr>
              <w:t xml:space="preserve">3</w:t>
            </w:r>
          </w:p>
        </w:tc>
        <w:tc>
          <w:tcPr>
            <w:tcW w:type="pct" w:w="60%"/>
            <w:tcMar>
              <w:top w:type="dxa" w:w="100"/>
              <w:left w:type="dxa" w:w="120"/>
              <w:bottom w:type="dxa" w:w="100"/>
              <w:right w:type="dxa" w:w="120"/>
            </w:tcMar>
            <w:vAlign w:val="center"/>
          </w:tcPr>
          <w:p>
            <w:r>
              <w:rPr>
                <w:sz w:val="20"/>
                <w:szCs w:val="20"/>
              </w:rPr>
              <w:t xml:space="preserve">Subnet proximity: identifier is 10.0.1.x and within 5 host-numbers of a registered asset</w:t>
            </w:r>
          </w:p>
        </w:tc>
        <w:tc>
          <w:tcPr>
            <w:tcW w:type="pct" w:w="28%"/>
            <w:tcMar>
              <w:top w:type="dxa" w:w="100"/>
              <w:left w:type="dxa" w:w="120"/>
              <w:bottom w:type="dxa" w:w="100"/>
              <w:right w:type="dxa" w:w="120"/>
            </w:tcMar>
            <w:vAlign w:val="center"/>
          </w:tcPr>
          <w:p>
            <w:r>
              <w:rPr>
                <w:sz w:val="20"/>
                <w:szCs w:val="20"/>
              </w:rPr>
              <w:t xml:space="preserve">max(0.4, 1.0 − dist × 0.12)</w:t>
            </w:r>
          </w:p>
        </w:tc>
      </w:tr>
      <w:tr>
        <w:tc>
          <w:tcPr>
            <w:tcW w:type="pct" w:w="12%"/>
            <w:shd w:fill="F5F0E8" w:val="clear"/>
            <w:tcMar>
              <w:top w:type="dxa" w:w="100"/>
              <w:left w:type="dxa" w:w="120"/>
              <w:bottom w:type="dxa" w:w="100"/>
              <w:right w:type="dxa" w:w="120"/>
            </w:tcMar>
            <w:vAlign w:val="center"/>
          </w:tcPr>
          <w:p>
            <w:r>
              <w:rPr>
                <w:sz w:val="20"/>
                <w:szCs w:val="20"/>
              </w:rPr>
              <w:t xml:space="preserve">4</w:t>
            </w:r>
          </w:p>
        </w:tc>
        <w:tc>
          <w:tcPr>
            <w:tcW w:type="pct" w:w="60%"/>
            <w:shd w:fill="F5F0E8" w:val="clear"/>
            <w:tcMar>
              <w:top w:type="dxa" w:w="100"/>
              <w:left w:type="dxa" w:w="120"/>
              <w:bottom w:type="dxa" w:w="100"/>
              <w:right w:type="dxa" w:w="120"/>
            </w:tcMar>
            <w:vAlign w:val="center"/>
          </w:tcPr>
          <w:p>
            <w:r>
              <w:rPr>
                <w:sz w:val="20"/>
                <w:szCs w:val="20"/>
              </w:rPr>
              <w:t xml:space="preserve">Auto-registered fallback, Unresolved_&lt;id&gt;</w:t>
            </w:r>
          </w:p>
        </w:tc>
        <w:tc>
          <w:tcPr>
            <w:tcW w:type="pct" w:w="28%"/>
            <w:shd w:fill="F5F0E8" w:val="clear"/>
            <w:tcMar>
              <w:top w:type="dxa" w:w="100"/>
              <w:left w:type="dxa" w:w="120"/>
              <w:bottom w:type="dxa" w:w="100"/>
              <w:right w:type="dxa" w:w="120"/>
            </w:tcMar>
            <w:vAlign w:val="center"/>
          </w:tcPr>
          <w:p>
            <w:r>
              <w:rPr>
                <w:sz w:val="20"/>
                <w:szCs w:val="20"/>
              </w:rPr>
              <w:t xml:space="preserve">0.3 (criticality 0.1)</w:t>
            </w:r>
          </w:p>
        </w:tc>
      </w:tr>
    </w:tbl>
    <w:p>
      <w:pPr>
        <w:pStyle w:val="Heading2"/>
        <w:spacing w:after="120" w:before="320"/>
      </w:pPr>
      <w:r>
        <w:rPr>
          <w:b/>
          <w:bCs/>
          <w:sz w:val="24"/>
          <w:szCs w:val="24"/>
        </w:rPr>
        <w:t xml:space="preserve">The K8 finding — still the graph's most important honest limitation</w:t>
      </w:r>
    </w:p>
    <w:p>
      <w:pPr>
        <w:spacing w:after="140" w:line="276"/>
      </w:pPr>
      <w:r>
        <w:rPr>
          <w:b/>
          <w:bCs/>
          <w:color w:val="15803D"/>
          <w:sz w:val="19"/>
          <w:szCs w:val="19"/>
        </w:rPr>
        <w:t xml:space="preserve">[FACT] </w:t>
      </w:r>
      <w:r>
        <w:t xml:space="preserve">0 of 20,000 real replayed source IPs resolve to a dependency-graph asset — measured directly, unchanged this pass. Rather than invent edges to bridge the two address spaces, the frontend renders two honestly disconnected layers. </w:t>
      </w:r>
      <w:r>
        <w:rPr>
          <w:b/>
          <w:bCs/>
        </w:rPr>
        <w:t xml:space="preserve">What changed this pass:</w:t>
      </w:r>
      <w:r>
        <w:t xml:space="preserve"> the curated ("pinned") layer used to silently omit the four gateway nodes and City_Grid from the default compact view — a separate bug from K8, now fixed — so the disconnected-layers story is unchanged, but the curated layer itself is now complete in every view mode.</w:t>
      </w:r>
    </w:p>
    <w:p>
      <w:pPr>
        <w:pStyle w:val="Heading2"/>
        <w:spacing w:after="120" w:before="320"/>
      </w:pPr>
      <w:r>
        <w:rPr>
          <w:b/>
          <w:bCs/>
          <w:sz w:val="24"/>
          <w:szCs w:val="24"/>
        </w:rPr>
        <w:t xml:space="preserve">Bias, leakage, and generalization</w:t>
      </w:r>
    </w:p>
    <w:p>
      <w:pPr>
        <w:spacing w:after="140" w:line="276"/>
      </w:pPr>
      <w:r>
        <w:rPr>
          <w:b/>
          <w:bCs/>
          <w:color w:val="15803D"/>
          <w:sz w:val="19"/>
          <w:szCs w:val="19"/>
        </w:rPr>
        <w:t xml:space="preserve">[FIXED THIS PASS] </w:t>
      </w:r>
      <w:r>
        <w:rPr>
          <w:b/>
          <w:bCs/>
        </w:rPr>
        <w:t xml:space="preserve">Train/eval scaler leakage — fixed this pass.</w:t>
      </w:r>
      <w:r>
        <w:t xml:space="preserve"> StandardScaler used to fit on the full dataset before the train/eval split was applied, so held-out attack rows influenced the scaler's mean/std. Now preprocess_features() accepts a pre-fit scaler, and run_evaluation() fits on the training split only, transforming the eval split with those statistics. Re-measured: MAD AUC moved from 0.676 to 0.677; every other metric was byte-identical to three decimals. Small in practice, exactly as the finding predicted — but the honest answer to “is there a leak” is now no, not “yes, a small one.”</w:t>
      </w:r>
    </w:p>
    <w:p>
      <w:pPr>
        <w:pStyle w:val="ListParagraph"/>
        <w:numPr>
          <w:ilvl w:val="0"/>
          <w:numId w:val="1"/>
        </w:numPr>
        <w:spacing w:after="80" w:line="264"/>
      </w:pPr>
      <w:r>
        <w:t xml:space="preserve">No leakage in detector training itself — detectors fit only on the benign-only training split. Unchanged.</w:t>
      </w:r>
    </w:p>
    <w:p>
      <w:pPr>
        <w:pStyle w:val="ListParagraph"/>
        <w:numPr>
          <w:ilvl w:val="0"/>
          <w:numId w:val="1"/>
        </w:numPr>
        <w:spacing w:after="80" w:line="264"/>
      </w:pPr>
      <w:r>
        <w:t xml:space="preserve">Temporal generalization is explicitly measured, not assumed — unchanged: the honest Random Forest numbers come from a chronological 50/50 split, plus a separate cross-day/novel-family test.</w:t>
      </w:r>
    </w:p>
    <w:p>
      <w:pPr>
        <w:pStyle w:val="ListParagraph"/>
        <w:numPr>
          <w:ilvl w:val="0"/>
          <w:numId w:val="1"/>
        </w:numPr>
        <w:spacing w:after="80" w:line="264"/>
      </w:pPr>
      <w:r>
        <w:t xml:space="preserve">Representativeness limit, unchanged: “CIC-IDS2017 is a 2017 testbed capture, not live municipal traffic,” and “one attack family (Bot) on one capture day drives the headline numbers” (docs/DETECTION_STUDY.md §7).</w:t>
      </w:r>
    </w:p>
    <w:p>
      <w:pPr>
        <w:pStyle w:val="Heading1"/>
        <w:pBdr>
          <w:bottom w:val="single" w:color="B45309" w:sz="12" w:space="4"/>
        </w:pBdr>
        <w:spacing w:after="200" w:before="480"/>
      </w:pPr>
      <w:r>
        <w:rPr>
          <w:b/>
          <w:bCs/>
          <w:color w:val="B45309"/>
          <w:sz w:val="30"/>
          <w:szCs w:val="30"/>
        </w:rPr>
        <w:t xml:space="preserve">PART 7 — AI / ML Audit</w:t>
      </w:r>
    </w:p>
    <w:p>
      <w:pPr>
        <w:spacing w:after="140" w:line="276"/>
      </w:pPr>
      <w:r>
        <w:rPr>
          <w:b/>
          <w:bCs/>
        </w:rPr>
        <w:t xml:space="preserve">This is the most heavily revised part of the document.</w:t>
      </w:r>
      <w:r>
        <w:t xml:space="preserve"> The first edition described three channels, one of which (Random Forest) it — incorrectly, even at the time — believed was not wired live. There are now five detectors. Read this part in full even if you memorized the first edition.</w:t>
      </w:r>
    </w:p>
    <w:p>
      <w:pPr>
        <w:pStyle w:val="Heading2"/>
        <w:spacing w:after="120" w:before="320"/>
      </w:pPr>
      <w:r>
        <w:rPr>
          <w:b/>
          <w:bCs/>
          <w:sz w:val="24"/>
          <w:szCs w:val="24"/>
        </w:rPr>
        <w:t xml:space="preserve">Channel 1 — Isolation Forest (unsupervised, live)</w:t>
      </w:r>
    </w:p>
    <w:p>
      <w:pPr>
        <w:spacing w:after="140" w:line="276"/>
      </w:pPr>
      <w:r>
        <w:t xml:space="preserve">sklearn.ensemble.IsolationForest, n_estimators=100, contamination=0.08 (Research Console default) / 0.005 (live streaming default — a deliberately stricter false-positive budget). Features: duration_sec, packets, bytes, StandardScaler-normalized. Fit once at build time on a benign baseline day, never refit on live traffic. Unchanged this pass.</w:t>
      </w:r>
    </w:p>
    <w:p>
      <w:pPr>
        <w:pStyle w:val="Heading2"/>
        <w:spacing w:after="120" w:before="320"/>
      </w:pPr>
      <w:r>
        <w:rPr>
          <w:b/>
          <w:bCs/>
          <w:sz w:val="24"/>
          <w:szCs w:val="24"/>
        </w:rPr>
        <w:t xml:space="preserve">Channel 2 — Random Forest (supervised, live)</w:t>
      </w:r>
    </w:p>
    <w:p>
      <w:pPr>
        <w:spacing w:after="140" w:line="276"/>
      </w:pPr>
      <w:r>
        <w:rPr>
          <w:b/>
          <w:bCs/>
          <w:color w:val="15803D"/>
          <w:sz w:val="19"/>
          <w:szCs w:val="19"/>
        </w:rPr>
        <w:t xml:space="preserve">[FACT] </w:t>
      </w:r>
      <w:r>
        <w:rPr>
          <w:b/>
          <w:bCs/>
        </w:rPr>
        <w:t xml:space="preserve">Correction to the first edition:</w:t>
      </w:r>
      <w:r>
        <w:t xml:space="preserve"> it stated this channel was “not wired into the live ingest pipeline,” citing a direct import-list inspection. That inspection was already stale at the time of writing — backend/ingest.py has imported SupervisedFlowScorer and scored every batch with it since the Phase B pass, writing a random_forest event_scores row per event when the artifact loads. It participates in fusion (weight 0.90) but does not independently gate an alert on its own — the honeytoken and existing volumetric policy are what create alerts from it, matching the original design intent that this channel never changes the alert/suppression policy on its own.</w:t>
      </w:r>
    </w:p>
    <w:p>
      <w:pPr>
        <w:pStyle w:val="Heading2"/>
        <w:spacing w:after="120" w:before="320"/>
      </w:pPr>
      <w:r>
        <w:rPr>
          <w:b/>
          <w:bCs/>
          <w:sz w:val="24"/>
          <w:szCs w:val="24"/>
        </w:rPr>
        <w:t xml:space="preserve">Channel 3 — Honeytoken tripwire (deception, live)</w:t>
      </w:r>
    </w:p>
    <w:p>
      <w:pPr>
        <w:spacing w:after="140" w:line="276"/>
      </w:pPr>
      <w:r>
        <w:t xml:space="preserve">A credential seeded with zero legitimate use anywhere in the system. Fires in backend/ingest.py's per-batch pipeline. By construction, cannot false-positive and needs no training data. Unchanged — still the honest, defensible core of the “explainability” and “novel-threat” story, and still the only Certainty.CONFIRMED source in the new fusion layer (see below).</w:t>
      </w:r>
    </w:p>
    <w:p>
      <w:pPr>
        <w:pStyle w:val="Heading2"/>
        <w:spacing w:after="120" w:before="320"/>
      </w:pPr>
      <w:r>
        <w:rPr>
          <w:b/>
          <w:bCs/>
          <w:sz w:val="24"/>
          <w:szCs w:val="24"/>
        </w:rPr>
        <w:t xml:space="preserve">Channel 4 (NEW) — Signature-rule engine (metadata heuristics, live)</w:t>
      </w:r>
    </w:p>
    <w:p>
      <w:pPr>
        <w:spacing w:after="140" w:line="276"/>
      </w:pPr>
      <w:r>
        <w:t xml:space="preserve">backend/detection/signature.py. Four declarative rules over flow </w:t>
      </w:r>
      <w:r>
        <w:rPr>
          <w:b/>
          <w:bCs/>
        </w:rPr>
        <w:t xml:space="preserve">metadata only</w:t>
      </w:r>
      <w:r>
        <w:t xml:space="preserve"> — CIC-IDS2017 TrafficLabelling carries flow records, not payloads, so this is explicitly not a Snort/Suricata-style payload IDS: known-bad address (confidence 0.90), outbound small-payload-to-high-port (0.50), high-risk admin/legacy port (0.40), external-to-database-port (0.65).</w:t>
      </w:r>
    </w:p>
    <w:tbl>
      <w:tblPr>
        <w:tblW w:type="pct" w:w="100%"/>
        <w:tblBorders>
          <w:top w:val="single" w:color="D97706" w:sz="6"/>
          <w:left w:val="single" w:color="D97706" w:sz="6"/>
          <w:bottom w:val="single" w:color="D97706" w:sz="6"/>
          <w:right w:val="single" w:color="D97706" w:sz="6"/>
          <w:insideH w:val="single" w:color="D97706" w:sz="6"/>
          <w:insideV w:val="single" w:color="D97706" w:sz="6"/>
        </w:tblBorders>
      </w:tblPr>
      <w:tblGrid>
        <w:gridCol w:w="100"/>
      </w:tblGrid>
      <w:tr>
        <w:tc>
          <w:tcPr>
            <w:shd w:fill="FEF3C7" w:val="clear"/>
            <w:tcMar>
              <w:top w:type="dxa" w:w="120"/>
              <w:left w:type="dxa" w:w="160"/>
              <w:bottom w:type="dxa" w:w="120"/>
              <w:right w:type="dxa" w:w="160"/>
            </w:tcMar>
          </w:tcPr>
          <w:p>
            <w:r>
              <w:rPr>
                <w:b/>
                <w:bCs/>
              </w:rPr>
              <w:t xml:space="preserve">⚠ </w:t>
            </w:r>
            <w:r>
              <w:rPr>
                <w:b/>
                <w:bCs/>
              </w:rPr>
              <w:t xml:space="preserve">A real bug found and fixed twice during this pass, worth knowing cold if asked about the engineering process behind the numbers.</w:t>
            </w:r>
            <w:r>
              <w:t xml:space="preserve"> Measured against 40,000 real friday-morning flows: the small-payload rule fired on </w:t>
            </w:r>
            <w:r>
              <w:rPr>
                <w:b/>
                <w:bCs/>
              </w:rPr>
              <w:t xml:space="preserve">20.0%</w:t>
            </w:r>
            <w:r>
              <w:t xml:space="preserve"> of ALL traffic — it had no direction requirement, so it matched ordinary service-port RESPONSES (e.g. </w:t>
            </w:r>
            <w:r>
              <w:rPr>
                <w:rFonts w:ascii="Consolas" w:cs="Consolas" w:eastAsia="Consolas" w:hAnsi="Consolas"/>
                <w:sz w:val="20"/>
                <w:szCs w:val="20"/>
              </w:rPr>
              <w:t xml:space="preserve">192.168.10.3:88 → 192.168.10.9:1031</w:t>
            </w:r>
            <w:r>
              <w:t xml:space="preserve">, 6 bytes of ordinary Kerberos chatter), not just client-initiated beacons. First fix added a direction requirement (ephemeral source port, external destination) but accidentally dropped the destination-high-port check entirely, introducing a SECOND, different false-positive class — ordinary short HTTP/HTTPS connections (</w:t>
            </w:r>
            <w:r>
              <w:rPr>
                <w:rFonts w:ascii="Consolas" w:cs="Consolas" w:eastAsia="Consolas" w:hAnsi="Consolas"/>
                <w:sz w:val="20"/>
                <w:szCs w:val="20"/>
              </w:rPr>
              <w:t xml:space="preserve">...49433 → 131.253.61.80:80</w:t>
            </w:r>
            <w:r>
              <w:t xml:space="preserve">, 12 bytes) — which still fired on 11.1% of traffic. Caught by re-measuring rather than trusting the first fix. Final predicate requires ALL THREE together: ephemeral source port, high destination port, external destination. Final measured rate: </w:t>
            </w:r>
            <w:r>
              <w:rPr>
                <w:b/>
                <w:bCs/>
              </w:rPr>
              <w:t xml:space="preserve">0.56%</w:t>
            </w:r>
            <w:r>
              <w:t xml:space="preserve">. Two regression tests now pin both false-positive classes specifically.</w:t>
            </w:r>
          </w:p>
        </w:tc>
      </w:tr>
    </w:tbl>
    <w:p>
      <w:pPr>
        <w:pStyle w:val="Heading2"/>
        <w:spacing w:after="120" w:before="320"/>
      </w:pPr>
      <w:r>
        <w:rPr>
          <w:b/>
          <w:bCs/>
          <w:sz w:val="24"/>
          <w:szCs w:val="24"/>
        </w:rPr>
        <w:t xml:space="preserve">Channel 5 (NEW) — Temporal beaconing detector (statistical, live)</w:t>
      </w:r>
    </w:p>
    <w:p>
      <w:pPr>
        <w:spacing w:after="140" w:line="276"/>
      </w:pPr>
      <w:r>
        <w:t xml:space="preserve">backend/detection/beaconing.py. Tracks the coefficient of variation (stddev/mean) of inter-arrival intervals per (source_ip, destination_ip) pair, in a bounded, LRU-evicted ring buffer per pair. Low CV = metronomic timing = beacon-like. Directly answers the volumetric channel's own documented blind spot: a beacon's signature is timing regularity, which no per-flow byte/packet feature can carry. Stateful across batches (one long-lived instance per pipeline, not rebuilt per batch) — abstains rather than guesses below a minimum sample count. The reliability weight for this channel (0.50) is explicitly flagged in its own config docstring as an unmeasured placeholder — there is no labelled beacon corpus in this project to fit it against yet, and this document does not claim otherwise.</w:t>
      </w:r>
    </w:p>
    <w:p>
      <w:pPr>
        <w:pStyle w:val="Heading2"/>
        <w:spacing w:after="120" w:before="320"/>
      </w:pPr>
      <w:r>
        <w:rPr>
          <w:b/>
          <w:bCs/>
          <w:sz w:val="24"/>
          <w:szCs w:val="24"/>
        </w:rPr>
        <w:t xml:space="preserve">The fusion engine — how five opinions become one decision</w:t>
      </w:r>
    </w:p>
    <w:p>
      <w:pPr>
        <w:spacing w:after="140" w:line="276"/>
      </w:pPr>
      <w:r>
        <w:t xml:space="preserve">backend/detection/fusion.py. Two-step algorithm, deliberately not a majority vote and not a plain weighted average:</w:t>
      </w:r>
    </w:p>
    <w:p>
      <w:pPr>
        <w:spacing w:after="80" w:line="264"/>
      </w:pPr>
      <w:r>
        <w:rPr>
          <w:b/>
          <w:bCs/>
        </w:rPr>
        <w:t xml:space="preserve">1. </w:t>
      </w:r>
      <w:r>
        <w:rPr>
          <w:b/>
          <w:bCs/>
        </w:rPr>
        <w:t xml:space="preserve">Confirmed-signal precedence.</w:t>
      </w:r>
      <w:r>
        <w:t xml:space="preserve"> If any detector fired with Certainty.CONFIRMED (today, only the tripwire), the fused decision is threat_score = 1.0, band = CONFIRMED, action = ALERT — immediately, ignoring every other verdict. This is the specific, tested guarantee that prevents a ~0.02-precision volumetric channel firing alongside a real honeytoken hit from ever diluting that signal.</w:t>
      </w:r>
    </w:p>
    <w:p>
      <w:pPr>
        <w:spacing w:after="80" w:line="264"/>
      </w:pPr>
      <w:r>
        <w:rPr>
          <w:b/>
          <w:bCs/>
        </w:rPr>
        <w:t xml:space="preserve">2. </w:t>
      </w:r>
      <w:r>
        <w:rPr>
          <w:b/>
          <w:bCs/>
        </w:rPr>
        <w:t xml:space="preserve">Weighted noisy-OR over fired heuristic verdicts.</w:t>
      </w:r>
      <w:r>
        <w:t xml:space="preserve"> For each detector that fired, p_i = calibrated_score_i × reliability_i. threat_score = 1 − Π(1 − p_i). A detector that did not fire contributes nothing (absence of evidence, not evidence of benignity). Monotonic (more evidence never lowers the score), bounded in [0,1] by construction, and makes an unreliable detector nearly inert: the volumetric channel at weight 0.02 contributes at most 0.02 to the product no matter how confident its own score claims to be.</w:t>
      </w:r>
    </w:p>
    <w:tbl>
      <w:tblPr>
        <w:tblW w:type="pct" w:w="100%"/>
        <w:tblBorders>
          <w:top w:val="single" w:color="D8CBB0" w:sz="4"/>
          <w:left w:val="single" w:color="D8CBB0" w:sz="4"/>
          <w:bottom w:val="single" w:color="D8CBB0" w:sz="4"/>
          <w:right w:val="single" w:color="D8CBB0" w:sz="4"/>
          <w:insideH w:val="single" w:color="D8CBB0" w:sz="4"/>
          <w:insideV w:val="single" w:color="D8CBB0" w:sz="4"/>
        </w:tblBorders>
      </w:tblPr>
      <w:tblGrid>
        <w:gridCol w:w="100"/>
        <w:gridCol w:w="100"/>
        <w:gridCol w:w="100"/>
      </w:tblGrid>
      <w:tr>
        <w:trPr>
          <w:tblHeader/>
        </w:trPr>
        <w:tc>
          <w:tcPr>
            <w:tcW w:type="pct" w:w="26%"/>
            <w:shd w:fill="1C1917" w:val="clear"/>
            <w:tcMar>
              <w:top w:type="dxa" w:w="100"/>
              <w:left w:type="dxa" w:w="120"/>
              <w:bottom w:type="dxa" w:w="100"/>
              <w:right w:type="dxa" w:w="120"/>
            </w:tcMar>
            <w:vAlign w:val="center"/>
          </w:tcPr>
          <w:p>
            <w:r>
              <w:rPr>
                <w:b/>
                <w:bCs/>
                <w:color w:val="FFFFFF"/>
                <w:sz w:val="19"/>
                <w:szCs w:val="19"/>
              </w:rPr>
              <w:t xml:space="preserve">Detector</w:t>
            </w:r>
          </w:p>
        </w:tc>
        <w:tc>
          <w:tcPr>
            <w:tcW w:type="pct" w:w="20%"/>
            <w:shd w:fill="1C1917" w:val="clear"/>
            <w:tcMar>
              <w:top w:type="dxa" w:w="100"/>
              <w:left w:type="dxa" w:w="120"/>
              <w:bottom w:type="dxa" w:w="100"/>
              <w:right w:type="dxa" w:w="120"/>
            </w:tcMar>
            <w:vAlign w:val="center"/>
          </w:tcPr>
          <w:p>
            <w:r>
              <w:rPr>
                <w:b/>
                <w:bCs/>
                <w:color w:val="FFFFFF"/>
                <w:sz w:val="19"/>
                <w:szCs w:val="19"/>
              </w:rPr>
              <w:t xml:space="preserve">Reliability weight</w:t>
            </w:r>
          </w:p>
        </w:tc>
        <w:tc>
          <w:tcPr>
            <w:tcW w:type="pct" w:w="54%"/>
            <w:shd w:fill="1C1917" w:val="clear"/>
            <w:tcMar>
              <w:top w:type="dxa" w:w="100"/>
              <w:left w:type="dxa" w:w="120"/>
              <w:bottom w:type="dxa" w:w="100"/>
              <w:right w:type="dxa" w:w="120"/>
            </w:tcMar>
            <w:vAlign w:val="center"/>
          </w:tcPr>
          <w:p>
            <w:r>
              <w:rPr>
                <w:b/>
                <w:bCs/>
                <w:color w:val="FFFFFF"/>
                <w:sz w:val="19"/>
                <w:szCs w:val="19"/>
              </w:rPr>
              <w:t xml:space="preserve">Basis</w:t>
            </w:r>
          </w:p>
        </w:tc>
      </w:tr>
      <w:tr>
        <w:tc>
          <w:tcPr>
            <w:tcW w:type="pct" w:w="26%"/>
            <w:tcMar>
              <w:top w:type="dxa" w:w="100"/>
              <w:left w:type="dxa" w:w="120"/>
              <w:bottom w:type="dxa" w:w="100"/>
              <w:right w:type="dxa" w:w="120"/>
            </w:tcMar>
            <w:vAlign w:val="center"/>
          </w:tcPr>
          <w:p>
            <w:r>
              <w:rPr>
                <w:sz w:val="20"/>
                <w:szCs w:val="20"/>
              </w:rPr>
              <w:t xml:space="preserve">Volumetric (Isolation Forest)</w:t>
            </w:r>
          </w:p>
        </w:tc>
        <w:tc>
          <w:tcPr>
            <w:tcW w:type="pct" w:w="20%"/>
            <w:tcMar>
              <w:top w:type="dxa" w:w="100"/>
              <w:left w:type="dxa" w:w="120"/>
              <w:bottom w:type="dxa" w:w="100"/>
              <w:right w:type="dxa" w:w="120"/>
            </w:tcMar>
            <w:vAlign w:val="center"/>
          </w:tcPr>
          <w:p>
            <w:r>
              <w:rPr>
                <w:sz w:val="20"/>
                <w:szCs w:val="20"/>
              </w:rPr>
              <w:t xml:space="preserve">0.02</w:t>
            </w:r>
          </w:p>
        </w:tc>
        <w:tc>
          <w:tcPr>
            <w:tcW w:type="pct" w:w="54%"/>
            <w:tcMar>
              <w:top w:type="dxa" w:w="100"/>
              <w:left w:type="dxa" w:w="120"/>
              <w:bottom w:type="dxa" w:w="100"/>
              <w:right w:type="dxa" w:w="120"/>
            </w:tcMar>
            <w:vAlign w:val="center"/>
          </w:tcPr>
          <w:p>
            <w:r>
              <w:rPr>
                <w:sz w:val="20"/>
                <w:szCs w:val="20"/>
              </w:rPr>
              <w:t xml:space="preserve">IS its measured precision on real friday-morning traffic (5 TP / 811 FP)</w:t>
            </w:r>
          </w:p>
        </w:tc>
      </w:tr>
      <w:tr>
        <w:tc>
          <w:tcPr>
            <w:tcW w:type="pct" w:w="26%"/>
            <w:shd w:fill="F5F0E8" w:val="clear"/>
            <w:tcMar>
              <w:top w:type="dxa" w:w="100"/>
              <w:left w:type="dxa" w:w="120"/>
              <w:bottom w:type="dxa" w:w="100"/>
              <w:right w:type="dxa" w:w="120"/>
            </w:tcMar>
            <w:vAlign w:val="center"/>
          </w:tcPr>
          <w:p>
            <w:r>
              <w:rPr>
                <w:sz w:val="20"/>
                <w:szCs w:val="20"/>
              </w:rPr>
              <w:t xml:space="preserve">Supervised (Random Forest)</w:t>
            </w:r>
          </w:p>
        </w:tc>
        <w:tc>
          <w:tcPr>
            <w:tcW w:type="pct" w:w="20%"/>
            <w:shd w:fill="F5F0E8" w:val="clear"/>
            <w:tcMar>
              <w:top w:type="dxa" w:w="100"/>
              <w:left w:type="dxa" w:w="120"/>
              <w:bottom w:type="dxa" w:w="100"/>
              <w:right w:type="dxa" w:w="120"/>
            </w:tcMar>
            <w:vAlign w:val="center"/>
          </w:tcPr>
          <w:p>
            <w:r>
              <w:rPr>
                <w:sz w:val="20"/>
                <w:szCs w:val="20"/>
              </w:rPr>
              <w:t xml:space="preserve">0.90</w:t>
            </w:r>
          </w:p>
        </w:tc>
        <w:tc>
          <w:tcPr>
            <w:tcW w:type="pct" w:w="54%"/>
            <w:shd w:fill="F5F0E8" w:val="clear"/>
            <w:tcMar>
              <w:top w:type="dxa" w:w="100"/>
              <w:left w:type="dxa" w:w="120"/>
              <w:bottom w:type="dxa" w:w="100"/>
              <w:right w:type="dxa" w:w="120"/>
            </w:tcMar>
            <w:vAlign w:val="center"/>
          </w:tcPr>
          <w:p>
            <w:r>
              <w:rPr>
                <w:sz w:val="20"/>
                <w:szCs w:val="20"/>
              </w:rPr>
              <w:t xml:space="preserve">Discounted below its 0.998 in-distribution figure, because the same study measured 0.000 precision on a novel attack family</w:t>
            </w:r>
          </w:p>
        </w:tc>
      </w:tr>
      <w:tr>
        <w:tc>
          <w:tcPr>
            <w:tcW w:type="pct" w:w="26%"/>
            <w:tcMar>
              <w:top w:type="dxa" w:w="100"/>
              <w:left w:type="dxa" w:w="120"/>
              <w:bottom w:type="dxa" w:w="100"/>
              <w:right w:type="dxa" w:w="120"/>
            </w:tcMar>
            <w:vAlign w:val="center"/>
          </w:tcPr>
          <w:p>
            <w:r>
              <w:rPr>
                <w:sz w:val="20"/>
                <w:szCs w:val="20"/>
              </w:rPr>
              <w:t xml:space="preserve">Tripwire</w:t>
            </w:r>
          </w:p>
        </w:tc>
        <w:tc>
          <w:tcPr>
            <w:tcW w:type="pct" w:w="20%"/>
            <w:tcMar>
              <w:top w:type="dxa" w:w="100"/>
              <w:left w:type="dxa" w:w="120"/>
              <w:bottom w:type="dxa" w:w="100"/>
              <w:right w:type="dxa" w:w="120"/>
            </w:tcMar>
            <w:vAlign w:val="center"/>
          </w:tcPr>
          <w:p>
            <w:r>
              <w:rPr>
                <w:sz w:val="20"/>
                <w:szCs w:val="20"/>
              </w:rPr>
              <w:t xml:space="preserve">1.0</w:t>
            </w:r>
          </w:p>
        </w:tc>
        <w:tc>
          <w:tcPr>
            <w:tcW w:type="pct" w:w="54%"/>
            <w:tcMar>
              <w:top w:type="dxa" w:w="100"/>
              <w:left w:type="dxa" w:w="120"/>
              <w:bottom w:type="dxa" w:w="100"/>
              <w:right w:type="dxa" w:w="120"/>
            </w:tcMar>
            <w:vAlign w:val="center"/>
          </w:tcPr>
          <w:p>
            <w:r>
              <w:rPr>
                <w:sz w:val="20"/>
                <w:szCs w:val="20"/>
              </w:rPr>
              <w:t xml:space="preserve">A credential with zero legitimate use cannot produce a false positive — but this weight is not what makes it decisive, Certainty.CONFIRMED precedence is</w:t>
            </w:r>
          </w:p>
        </w:tc>
      </w:tr>
      <w:tr>
        <w:tc>
          <w:tcPr>
            <w:tcW w:type="pct" w:w="26%"/>
            <w:shd w:fill="F5F0E8" w:val="clear"/>
            <w:tcMar>
              <w:top w:type="dxa" w:w="100"/>
              <w:left w:type="dxa" w:w="120"/>
              <w:bottom w:type="dxa" w:w="100"/>
              <w:right w:type="dxa" w:w="120"/>
            </w:tcMar>
            <w:vAlign w:val="center"/>
          </w:tcPr>
          <w:p>
            <w:r>
              <w:rPr>
                <w:sz w:val="20"/>
                <w:szCs w:val="20"/>
              </w:rPr>
              <w:t xml:space="preserve">Signature engine</w:t>
            </w:r>
          </w:p>
        </w:tc>
        <w:tc>
          <w:tcPr>
            <w:tcW w:type="pct" w:w="20%"/>
            <w:shd w:fill="F5F0E8" w:val="clear"/>
            <w:tcMar>
              <w:top w:type="dxa" w:w="100"/>
              <w:left w:type="dxa" w:w="120"/>
              <w:bottom w:type="dxa" w:w="100"/>
              <w:right w:type="dxa" w:w="120"/>
            </w:tcMar>
            <w:vAlign w:val="center"/>
          </w:tcPr>
          <w:p>
            <w:r>
              <w:rPr>
                <w:sz w:val="20"/>
                <w:szCs w:val="20"/>
              </w:rPr>
              <w:t xml:space="preserve">0.85</w:t>
            </w:r>
          </w:p>
        </w:tc>
        <w:tc>
          <w:tcPr>
            <w:tcW w:type="pct" w:w="54%"/>
            <w:shd w:fill="F5F0E8" w:val="clear"/>
            <w:tcMar>
              <w:top w:type="dxa" w:w="100"/>
              <w:left w:type="dxa" w:w="120"/>
              <w:bottom w:type="dxa" w:w="100"/>
              <w:right w:type="dxa" w:w="120"/>
            </w:tcMar>
            <w:vAlign w:val="center"/>
          </w:tcPr>
          <w:p>
            <w:r>
              <w:rPr>
                <w:sz w:val="20"/>
                <w:szCs w:val="20"/>
              </w:rPr>
              <w:t xml:space="preserve">A matched rule is an exact statement about observable metadata, discounted below 1.0 because a benign flow can legitimately match the shape</w:t>
            </w:r>
          </w:p>
        </w:tc>
      </w:tr>
      <w:tr>
        <w:tc>
          <w:tcPr>
            <w:tcW w:type="pct" w:w="26%"/>
            <w:tcMar>
              <w:top w:type="dxa" w:w="100"/>
              <w:left w:type="dxa" w:w="120"/>
              <w:bottom w:type="dxa" w:w="100"/>
              <w:right w:type="dxa" w:w="120"/>
            </w:tcMar>
            <w:vAlign w:val="center"/>
          </w:tcPr>
          <w:p>
            <w:r>
              <w:rPr>
                <w:sz w:val="20"/>
                <w:szCs w:val="20"/>
              </w:rPr>
              <w:t xml:space="preserve">Beaconing</w:t>
            </w:r>
          </w:p>
        </w:tc>
        <w:tc>
          <w:tcPr>
            <w:tcW w:type="pct" w:w="20%"/>
            <w:tcMar>
              <w:top w:type="dxa" w:w="100"/>
              <w:left w:type="dxa" w:w="120"/>
              <w:bottom w:type="dxa" w:w="100"/>
              <w:right w:type="dxa" w:w="120"/>
            </w:tcMar>
            <w:vAlign w:val="center"/>
          </w:tcPr>
          <w:p>
            <w:r>
              <w:rPr>
                <w:sz w:val="20"/>
                <w:szCs w:val="20"/>
              </w:rPr>
              <w:t xml:space="preserve">0.50</w:t>
            </w:r>
          </w:p>
        </w:tc>
        <w:tc>
          <w:tcPr>
            <w:tcW w:type="pct" w:w="54%"/>
            <w:tcMar>
              <w:top w:type="dxa" w:w="100"/>
              <w:left w:type="dxa" w:w="120"/>
              <w:bottom w:type="dxa" w:w="100"/>
              <w:right w:type="dxa" w:w="120"/>
            </w:tcMar>
            <w:vAlign w:val="center"/>
          </w:tcPr>
          <w:p>
            <w:r>
              <w:rPr>
                <w:sz w:val="20"/>
                <w:szCs w:val="20"/>
              </w:rPr>
              <w:t xml:space="preserve">Explicitly an UNMEASURED placeholder — no labelled corpus exists yet</w:t>
            </w:r>
          </w:p>
        </w:tc>
      </w:tr>
    </w:tbl>
    <w:p>
      <w:pPr>
        <w:spacing w:after="140" w:line="276"/>
      </w:pPr>
      <w:r>
        <w:t xml:space="preserve">Bands: SUSPICIOUS ≥ 0.25, LIKELY ≥ 0.55, CONFIRMED ≥ 0.85 (all configured, none hardcoded inline). Action: ALERT at LIKELY or above, else OBSERVE. THROTTLE and BLOCK are declared in the contract but never produced by this engine and nothing in the pipeline consumes them — explicitly reserved for a future IPS policy layer, not implemented.</w:t>
      </w:r>
    </w:p>
    <w:tbl>
      <w:tblPr>
        <w:tblW w:type="pct" w:w="100%"/>
        <w:tblBorders>
          <w:top w:val="single" w:color="D97706" w:sz="6"/>
          <w:left w:val="single" w:color="D97706" w:sz="6"/>
          <w:bottom w:val="single" w:color="D97706" w:sz="6"/>
          <w:right w:val="single" w:color="D97706" w:sz="6"/>
          <w:insideH w:val="single" w:color="D97706" w:sz="6"/>
          <w:insideV w:val="single" w:color="D97706" w:sz="6"/>
        </w:tblBorders>
      </w:tblPr>
      <w:tblGrid>
        <w:gridCol w:w="100"/>
      </w:tblGrid>
      <w:tr>
        <w:tc>
          <w:tcPr>
            <w:shd w:fill="FEF3C7" w:val="clear"/>
            <w:tcMar>
              <w:top w:type="dxa" w:w="120"/>
              <w:left w:type="dxa" w:w="160"/>
              <w:bottom w:type="dxa" w:w="120"/>
              <w:right w:type="dxa" w:w="160"/>
            </w:tcMar>
          </w:tcPr>
          <w:p>
            <w:r>
              <w:rPr>
                <w:b/>
                <w:bCs/>
              </w:rPr>
              <w:t xml:space="preserve">⚠ </w:t>
            </w:r>
            <w:r>
              <w:rPr>
                <w:b/>
                <w:bCs/>
              </w:rPr>
              <w:t xml:space="preserve">The single most important nuance about this new layer:</w:t>
            </w:r>
            <w:r>
              <w:t xml:space="preserve"> it ships </w:t>
            </w:r>
            <w:r>
              <w:rPr>
                <w:rFonts w:ascii="Consolas" w:cs="Consolas" w:eastAsia="Consolas" w:hAnsi="Consolas"/>
                <w:sz w:val="20"/>
                <w:szCs w:val="20"/>
              </w:rPr>
              <w:t xml:space="preserve">hybrid_enabled=True</w:t>
            </w:r>
            <w:r>
              <w:t xml:space="preserve"> (it runs on every batch, persists a hybrid row, and broadcasts a hybrid summary in every event envelope) but </w:t>
            </w:r>
            <w:r>
              <w:rPr>
                <w:rFonts w:ascii="Consolas" w:cs="Consolas" w:eastAsia="Consolas" w:hAnsi="Consolas"/>
                <w:sz w:val="20"/>
                <w:szCs w:val="20"/>
              </w:rPr>
              <w:t xml:space="preserve">hybrid_gates_alerts=False</w:t>
            </w:r>
            <w:r>
              <w:t xml:space="preserve"> — it cannot create an alert the existing tripwire/volumetric policy would not have created on its own. This is a deliberate, stated posture (see the setting's own docstring): every alert/risk figure already published in this project was measured under the pre-hybrid policy, and turning this on is a policy change requiring its own re-measurement, not a tuning knob to flip casually. If a judge asks you to demonstrate the hybrid layer creating a live page, the honest answer is that it currently doesn't, by design — you can show it fire silently (it's fully observable in the event feed and in event_scores) but not that it pages an operator.</w:t>
            </w:r>
          </w:p>
        </w:tc>
      </w:tr>
    </w:tbl>
    <w:p>
      <w:pPr>
        <w:pStyle w:val="Heading2"/>
        <w:spacing w:after="120" w:before="320"/>
      </w:pPr>
      <w:r>
        <w:rPr>
          <w:b/>
          <w:bCs/>
          <w:sz w:val="24"/>
          <w:szCs w:val="24"/>
        </w:rPr>
        <w:t xml:space="preserve">⚠ The overclaim risk in “five detection channels, correlated by fusion”</w:t>
      </w:r>
    </w:p>
    <w:p>
      <w:pPr>
        <w:spacing w:after="140" w:line="276"/>
      </w:pPr>
      <w:r>
        <w:t xml:space="preserve">Exactly the same risk shape the first edition flagged for “three channels, reported side by side,” now sharper with two more channels. The honest, rehearsed answer: </w:t>
      </w:r>
      <w:r>
        <w:rPr>
          <w:b/>
          <w:bCs/>
        </w:rPr>
        <w:t xml:space="preserve">all five score every live flow and feed the fusion engine; only the tripwire (always) and the existing volumetric/supervised-informed policy can currently create an alert; the hybrid layer's own fused opinion cannot, by explicit default.</w:t>
      </w:r>
      <w:r>
        <w:t xml:space="preserve"> Say this proactively — it reads as engineering discipline, not as a gotcha, if you get there first.</w:t>
      </w:r>
    </w:p>
    <w:p>
      <w:pPr>
        <w:pStyle w:val="Heading2"/>
        <w:spacing w:after="120" w:before="320"/>
      </w:pPr>
      <w:r>
        <w:rPr>
          <w:b/>
          <w:bCs/>
          <w:sz w:val="24"/>
          <w:szCs w:val="24"/>
        </w:rPr>
        <w:t xml:space="preserve">Score pipeline and calibration</w:t>
      </w:r>
    </w:p>
    <w:p>
      <w:pPr>
        <w:spacing w:after="140" w:line="276"/>
      </w:pPr>
      <w:r>
        <w:t xml:space="preserve">Unchanged this pass: predict() → sklearn convention (−1 anomaly / 1 normal); decision_function() → raw_score; calibrated_score = 1 / (1 + e^(5.0 × raw_score)) — a fixed-slope logistic squash, not Platt scaling, not fit on any data. If asked whether it's “a calibrated probability”: no, it's a monotonic rescaling for display.</w:t>
      </w:r>
    </w:p>
    <w:p>
      <w:pPr>
        <w:pStyle w:val="Heading2"/>
        <w:spacing w:after="120" w:before="320"/>
      </w:pPr>
      <w:r>
        <w:rPr>
          <w:b/>
          <w:bCs/>
          <w:sz w:val="24"/>
          <w:szCs w:val="24"/>
        </w:rPr>
        <w:t xml:space="preserve">Aggressive challenges, answered honestly</w:t>
      </w:r>
    </w:p>
    <w:p>
      <w:pPr>
        <w:spacing w:after="60" w:before="160"/>
      </w:pPr>
      <w:r>
        <w:rPr>
          <w:b/>
          <w:bCs/>
          <w:color w:val="B45309"/>
        </w:rPr>
        <w:t xml:space="preserve">Q: </w:t>
      </w:r>
      <w:r>
        <w:rPr>
          <w:i/>
          <w:iCs/>
        </w:rPr>
        <w:t xml:space="preserve">Why Isolation Forest and not a deep model?</w:t>
      </w:r>
    </w:p>
    <w:p>
      <w:pPr>
        <w:spacing w:after="40"/>
      </w:pPr>
      <w:r>
        <w:rPr>
          <w:b/>
          <w:bCs/>
          <w:color w:val="15803D"/>
          <w:sz w:val="18"/>
          <w:szCs w:val="18"/>
        </w:rPr>
        <w:t xml:space="preserve">IDEAL ANSWER  </w:t>
      </w:r>
      <w:r>
        <w:t xml:space="preserve">Unchanged from the first edition: it needs no labeled data, trains fast, and is a defensible baseline. DETECTION_STUDY.md's finding is that volumetric detection as a paradigm fails on this traffic — a deep model over the same three volumetric features would very likely fail the same way. The stronger answer is about paradigm fit, not algorithm choice.</w:t>
      </w:r>
    </w:p>
    <w:p>
      <w:pPr>
        <w:spacing w:after="60" w:before="160"/>
      </w:pPr>
      <w:r>
        <w:rPr>
          <w:b/>
          <w:bCs/>
          <w:color w:val="B45309"/>
        </w:rPr>
        <w:t xml:space="preserve">Q: </w:t>
      </w:r>
      <w:r>
        <w:rPr>
          <w:i/>
          <w:iCs/>
        </w:rPr>
        <w:t xml:space="preserve">You added two more detectors. Why not just fix the Isolation Forest instead?</w:t>
      </w:r>
    </w:p>
    <w:p>
      <w:pPr>
        <w:spacing w:after="40"/>
      </w:pPr>
      <w:r>
        <w:rPr>
          <w:b/>
          <w:bCs/>
          <w:color w:val="15803D"/>
          <w:sz w:val="18"/>
          <w:szCs w:val="18"/>
        </w:rPr>
        <w:t xml:space="preserve">IDEAL ANSWER  </w:t>
      </w:r>
      <w:r>
        <w:t xml:space="preserve">Because the root cause — Bot C2 beaconing is smaller than benign traffic, not bigger — is a paradigm mismatch, not a tunable hyperparameter; feature engineering was already tried and measured to make it worse. The beaconing detector specifically answers this blind spot with a different signal (timing regularity, not volume) rather than trying to force the same signal to work harder.</w:t>
      </w:r>
    </w:p>
    <w:p>
      <w:pPr>
        <w:pStyle w:val="Heading1"/>
        <w:pBdr>
          <w:bottom w:val="single" w:color="B45309" w:sz="12" w:space="4"/>
        </w:pBdr>
        <w:spacing w:after="200" w:before="480"/>
      </w:pPr>
      <w:r>
        <w:rPr>
          <w:b/>
          <w:bCs/>
          <w:color w:val="B45309"/>
          <w:sz w:val="30"/>
          <w:szCs w:val="30"/>
        </w:rPr>
        <w:t xml:space="preserve">PART 8 — Mathematics and Algorithms — Whiteboard-Ready</w:t>
      </w:r>
    </w:p>
    <w:p>
      <w:pPr>
        <w:pStyle w:val="Heading2"/>
        <w:spacing w:after="120" w:before="320"/>
      </w:pPr>
      <w:r>
        <w:rPr>
          <w:b/>
          <w:bCs/>
          <w:sz w:val="24"/>
          <w:szCs w:val="24"/>
        </w:rPr>
        <w:t xml:space="preserve">1. The CII Monte Carlo cascade (unchanged mechanism; one correctness fix)</w:t>
      </w:r>
    </w:p>
    <w:p>
      <w:pPr>
        <w:spacing w:after="140" w:line="276"/>
      </w:pPr>
      <w:r>
        <w:t xml:space="preserve">Intuition: start a fire at one asset. Each dependency edge is a fuse with a probability of catching. Run the fire 1,000 times with fresh dice each time, and report how much of the city typically burns — a distribution, not a single number.</w:t>
      </w:r>
    </w:p>
    <w:p>
      <w:pPr>
        <w:spacing w:after="20"/>
      </w:pPr>
      <w:r>
        <w:rPr>
          <w:rFonts w:ascii="Consolas" w:cs="Consolas" w:eastAsia="Consolas" w:hAnsi="Consolas"/>
          <w:sz w:val="18"/>
          <w:szCs w:val="18"/>
        </w:rPr>
        <w:t xml:space="preserve">compromised = {origin: 0}                  # node -&gt; hop distance</w:t>
      </w:r>
    </w:p>
    <w:p>
      <w:pPr>
        <w:spacing w:after="20"/>
      </w:pPr>
      <w:r>
        <w:rPr>
          <w:rFonts w:ascii="Consolas" w:cs="Consolas" w:eastAsia="Consolas" w:hAnsi="Consolas"/>
          <w:sz w:val="18"/>
          <w:szCs w:val="18"/>
        </w:rPr>
        <w:t xml:space="preserve">queue = [(origin, 0)]</w:t>
      </w:r>
    </w:p>
    <w:p>
      <w:pPr>
        <w:spacing w:after="20"/>
      </w:pPr>
      <w:r>
        <w:rPr>
          <w:rFonts w:ascii="Consolas" w:cs="Consolas" w:eastAsia="Consolas" w:hAnsi="Consolas"/>
          <w:sz w:val="18"/>
          <w:szCs w:val="18"/>
        </w:rPr>
        <w:t xml:space="preserve">provider_outcomes = {}                      # NEW: shared per-provider draws</w:t>
      </w:r>
    </w:p>
    <w:p>
      <w:pPr>
        <w:spacing w:after="20"/>
      </w:pPr>
      <w:r>
        <w:rPr>
          <w:rFonts w:ascii="Consolas" w:cs="Consolas" w:eastAsia="Consolas" w:hAnsi="Consolas"/>
          <w:sz w:val="18"/>
          <w:szCs w:val="18"/>
        </w:rPr>
        <w:t xml:space="preserve">while queue:</w:t>
      </w:r>
    </w:p>
    <w:p>
      <w:pPr>
        <w:spacing w:after="20"/>
      </w:pPr>
      <w:r>
        <w:rPr>
          <w:rFonts w:ascii="Consolas" w:cs="Consolas" w:eastAsia="Consolas" w:hAnsi="Consolas"/>
          <w:sz w:val="18"/>
          <w:szCs w:val="18"/>
        </w:rPr>
        <w:t xml:space="preserve">    node, hop = queue.pop(0)</w:t>
      </w:r>
    </w:p>
    <w:p>
      <w:pPr>
        <w:spacing w:after="20"/>
      </w:pPr>
      <w:r>
        <w:rPr>
          <w:rFonts w:ascii="Consolas" w:cs="Consolas" w:eastAsia="Consolas" w:hAnsi="Consolas"/>
          <w:sz w:val="18"/>
          <w:szCs w:val="18"/>
        </w:rPr>
        <w:t xml:space="preserve">    if hop &gt;= max_hops: continue</w:t>
      </w:r>
    </w:p>
    <w:p>
      <w:pPr>
        <w:spacing w:after="20"/>
      </w:pPr>
      <w:r>
        <w:rPr>
          <w:rFonts w:ascii="Consolas" w:cs="Consolas" w:eastAsia="Consolas" w:hAnsi="Consolas"/>
          <w:sz w:val="18"/>
          <w:szCs w:val="18"/>
        </w:rPr>
        <w:t xml:space="preserve">    for neighbor, edge in successors(node):</w:t>
      </w:r>
    </w:p>
    <w:p>
      <w:pPr>
        <w:spacing w:after="20"/>
      </w:pPr>
      <w:r>
        <w:rPr>
          <w:rFonts w:ascii="Consolas" w:cs="Consolas" w:eastAsia="Consolas" w:hAnsi="Consolas"/>
          <w:sz w:val="18"/>
          <w:szCs w:val="18"/>
        </w:rPr>
        <w:t xml:space="preserve">        if neighbor in compromised: continue</w:t>
      </w:r>
    </w:p>
    <w:p>
      <w:pPr>
        <w:spacing w:after="20"/>
      </w:pPr>
      <w:r>
        <w:rPr>
          <w:rFonts w:ascii="Consolas" w:cs="Consolas" w:eastAsia="Consolas" w:hAnsi="Consolas"/>
          <w:sz w:val="18"/>
          <w:szCs w:val="18"/>
        </w:rPr>
        <w:t xml:space="preserve">        if edge.type == "backed_up_by":</w:t>
      </w:r>
    </w:p>
    <w:p>
      <w:pPr>
        <w:spacing w:after="20"/>
      </w:pPr>
      <w:r>
        <w:rPr>
          <w:rFonts w:ascii="Consolas" w:cs="Consolas" w:eastAsia="Consolas" w:hAnsi="Consolas"/>
          <w:sz w:val="18"/>
          <w:szCs w:val="18"/>
        </w:rPr>
        <w:t xml:space="preserve">            continue                        # deferred to second pass</w:t>
      </w:r>
    </w:p>
    <w:p>
      <w:pPr>
        <w:spacing w:after="20"/>
      </w:pPr>
      <w:r>
        <w:rPr>
          <w:rFonts w:ascii="Consolas" w:cs="Consolas" w:eastAsia="Consolas" w:hAnsi="Consolas"/>
          <w:sz w:val="18"/>
          <w:szCs w:val="18"/>
        </w:rPr>
        <w:t xml:space="preserve">        elif edge.type == "shares_provider":</w:t>
      </w:r>
    </w:p>
    <w:p>
      <w:pPr>
        <w:spacing w:after="20"/>
      </w:pPr>
      <w:r>
        <w:rPr>
          <w:rFonts w:ascii="Consolas" w:cs="Consolas" w:eastAsia="Consolas" w:hAnsi="Consolas"/>
          <w:sz w:val="18"/>
          <w:szCs w:val="18"/>
        </w:rPr>
        <w:t xml:space="preserve">            # FIXED this pass: one shared Bernoulli per provider_id per</w:t>
      </w:r>
    </w:p>
    <w:p>
      <w:pPr>
        <w:spacing w:after="20"/>
      </w:pPr>
      <w:r>
        <w:rPr>
          <w:rFonts w:ascii="Consolas" w:cs="Consolas" w:eastAsia="Consolas" w:hAnsi="Consolas"/>
          <w:sz w:val="18"/>
          <w:szCs w:val="18"/>
        </w:rPr>
        <w:t xml:space="preserve">            # iteration, reused by every edge sharing it -- was</w:t>
      </w:r>
    </w:p>
    <w:p>
      <w:pPr>
        <w:spacing w:after="20"/>
      </w:pPr>
      <w:r>
        <w:rPr>
          <w:rFonts w:ascii="Consolas" w:cs="Consolas" w:eastAsia="Consolas" w:hAnsi="Consolas"/>
          <w:sz w:val="18"/>
          <w:szCs w:val="18"/>
        </w:rPr>
        <w:t xml:space="preserve">            # previously drawn independently per edge despite the</w:t>
      </w:r>
    </w:p>
    <w:p>
      <w:pPr>
        <w:spacing w:after="20"/>
      </w:pPr>
      <w:r>
        <w:rPr>
          <w:rFonts w:ascii="Consolas" w:cs="Consolas" w:eastAsia="Consolas" w:hAnsi="Consolas"/>
          <w:sz w:val="18"/>
          <w:szCs w:val="18"/>
        </w:rPr>
        <w:t xml:space="preserve">            # docstring claiming correlation.</w:t>
      </w:r>
    </w:p>
    <w:p>
      <w:pPr>
        <w:spacing w:after="20"/>
      </w:pPr>
      <w:r>
        <w:rPr>
          <w:rFonts w:ascii="Consolas" w:cs="Consolas" w:eastAsia="Consolas" w:hAnsi="Consolas"/>
          <w:sz w:val="18"/>
          <w:szCs w:val="18"/>
        </w:rPr>
        <w:t xml:space="preserve">            pid = edge.provider_id</w:t>
      </w:r>
    </w:p>
    <w:p>
      <w:pPr>
        <w:spacing w:after="20"/>
      </w:pPr>
      <w:r>
        <w:rPr>
          <w:rFonts w:ascii="Consolas" w:cs="Consolas" w:eastAsia="Consolas" w:hAnsi="Consolas"/>
          <w:sz w:val="18"/>
          <w:szCs w:val="18"/>
        </w:rPr>
        <w:t xml:space="preserve">            if pid not in provider_outcomes:</w:t>
      </w:r>
    </w:p>
    <w:p>
      <w:pPr>
        <w:spacing w:after="20"/>
      </w:pPr>
      <w:r>
        <w:rPr>
          <w:rFonts w:ascii="Consolas" w:cs="Consolas" w:eastAsia="Consolas" w:hAnsi="Consolas"/>
          <w:sz w:val="18"/>
          <w:szCs w:val="18"/>
        </w:rPr>
        <w:t xml:space="preserve">                provider_outcomes[pid] = random() &lt; edge.prob</w:t>
      </w:r>
    </w:p>
    <w:p>
      <w:pPr>
        <w:spacing w:after="20"/>
      </w:pPr>
      <w:r>
        <w:rPr>
          <w:rFonts w:ascii="Consolas" w:cs="Consolas" w:eastAsia="Consolas" w:hAnsi="Consolas"/>
          <w:sz w:val="18"/>
          <w:szCs w:val="18"/>
        </w:rPr>
        <w:t xml:space="preserve">            if provider_outcomes[pid]:</w:t>
      </w:r>
    </w:p>
    <w:p>
      <w:pPr>
        <w:spacing w:after="20"/>
      </w:pPr>
      <w:r>
        <w:rPr>
          <w:rFonts w:ascii="Consolas" w:cs="Consolas" w:eastAsia="Consolas" w:hAnsi="Consolas"/>
          <w:sz w:val="18"/>
          <w:szCs w:val="18"/>
        </w:rPr>
        <w:t xml:space="preserve">                compromised[neighbor] = hop + 1; queue.append((neighbor, hop+1))</w:t>
      </w:r>
    </w:p>
    <w:p>
      <w:pPr>
        <w:spacing w:after="20"/>
      </w:pPr>
      <w:r>
        <w:rPr>
          <w:rFonts w:ascii="Consolas" w:cs="Consolas" w:eastAsia="Consolas" w:hAnsi="Consolas"/>
          <w:sz w:val="18"/>
          <w:szCs w:val="18"/>
        </w:rPr>
        <w:t xml:space="preserve">        else:</w:t>
      </w:r>
    </w:p>
    <w:p>
      <w:pPr>
        <w:spacing w:after="20"/>
      </w:pPr>
      <w:r>
        <w:rPr>
          <w:rFonts w:ascii="Consolas" w:cs="Consolas" w:eastAsia="Consolas" w:hAnsi="Consolas"/>
          <w:sz w:val="18"/>
          <w:szCs w:val="18"/>
        </w:rPr>
        <w:t xml:space="preserve">            if random() &lt; edge.prob:        # independent Bernoulli draw</w:t>
      </w:r>
    </w:p>
    <w:p>
      <w:pPr>
        <w:spacing w:after="20"/>
      </w:pPr>
      <w:r>
        <w:rPr>
          <w:rFonts w:ascii="Consolas" w:cs="Consolas" w:eastAsia="Consolas" w:hAnsi="Consolas"/>
          <w:sz w:val="18"/>
          <w:szCs w:val="18"/>
        </w:rPr>
        <w:t xml:space="preserve">                compromised[neighbor] = hop + 1</w:t>
      </w:r>
    </w:p>
    <w:p>
      <w:pPr>
        <w:spacing w:after="20"/>
      </w:pPr>
      <w:r>
        <w:rPr>
          <w:rFonts w:ascii="Consolas" w:cs="Consolas" w:eastAsia="Consolas" w:hAnsi="Consolas"/>
          <w:sz w:val="18"/>
          <w:szCs w:val="18"/>
        </w:rPr>
        <w:t xml:space="preserve">                queue.append((neighbor, hop + 1))</w:t>
      </w:r>
    </w:p>
    <w:p>
      <w:pPr>
        <w:spacing w:after="20"/>
      </w:pPr>
      <w:r>
        <w:rPr>
          <w:rFonts w:ascii="Consolas" w:cs="Consolas" w:eastAsia="Consolas" w:hAnsi="Consolas"/>
          <w:sz w:val="18"/>
          <w:szCs w:val="18"/>
        </w:rPr>
        <w:t xml:space="preserve"># second pass -- redundancy (backed_up_by), AND semantics, unchanged</w:t>
      </w:r>
    </w:p>
    <w:p>
      <w:pPr>
        <w:spacing w:after="20"/>
      </w:pPr>
      <w:r>
        <w:rPr>
          <w:rFonts w:ascii="Consolas" w:cs="Consolas" w:eastAsia="Consolas" w:hAnsi="Consolas"/>
          <w:sz w:val="18"/>
          <w:szCs w:val="18"/>
        </w:rPr>
        <w:t xml:space="preserve">total_impact = sum(criticality(n) for n in compromised if n != origin)</w:t>
      </w:r>
    </w:p>
    <w:p>
      <w:pPr>
        <w:spacing w:after="20"/>
      </w:pPr>
      <w:r>
        <w:rPr>
          <w:rFonts w:ascii="Consolas" w:cs="Consolas" w:eastAsia="Consolas" w:hAnsi="Consolas"/>
          <w:sz w:val="18"/>
          <w:szCs w:val="18"/>
        </w:rPr>
        <w:t xml:space="preserve">normalized   = total_impact / graph_criticality_mass</w:t>
      </w:r>
    </w:p>
    <w:p>
      <w:pPr>
        <w:spacing w:after="20"/>
      </w:pPr>
      <w:r>
        <w:rPr>
          <w:rFonts w:ascii="Consolas" w:cs="Consolas" w:eastAsia="Consolas" w:hAnsi="Consolas"/>
          <w:sz w:val="18"/>
          <w:szCs w:val="18"/>
        </w:rPr>
        <w:t xml:space="preserve">cii          = min(cii_max, anomaly_score * normalized)</w:t>
      </w:r>
    </w:p>
    <w:p>
      <w:pPr>
        <w:spacing w:after="140" w:line="276"/>
      </w:pPr>
      <w:r>
        <w:rPr>
          <w:b/>
          <w:bCs/>
          <w:color w:val="15803D"/>
          <w:sz w:val="19"/>
          <w:szCs w:val="19"/>
        </w:rPr>
        <w:t xml:space="preserve">[FIXED THIS PASS] </w:t>
      </w:r>
      <w:r>
        <w:rPr>
          <w:b/>
          <w:bCs/>
        </w:rPr>
        <w:t xml:space="preserve">shares_provider correlation — fixed this pass.</w:t>
      </w:r>
      <w:r>
        <w:t xml:space="preserve"> The branch previously documented correlated common-mode failure but sampled every edge independently, identical to the default branch. Now edges sharing a provider_id draw ONE shared outcome per Monte Carlo iteration. No edge in the current production DEPENDENCY_GRAPH uses this type, so </w:t>
      </w:r>
      <w:r>
        <w:rPr>
          <w:b/>
          <w:bCs/>
        </w:rPr>
        <w:t xml:space="preserve">no currently-published CII number changed</w:t>
      </w:r>
      <w:r>
        <w:t xml:space="preserve"> — only the correctness of the code path if the graph grows to use it. Pinned by 4 new tests, including two control cases proving independent sampling still occurs where it should (different provider_id, or none at all).</w:t>
      </w:r>
    </w:p>
    <w:p>
      <w:pPr>
        <w:spacing w:after="140" w:line="276"/>
      </w:pPr>
      <w:r>
        <w:t xml:space="preserve">Worked example (diamond dependency, unchanged): A→B (p=0.9), A→C (p=0.9), B→D (p=0.8), C→D (p=0.8). P(D compromised) ≈ 1 − (1 − 0.9×0.8)² = 0.9216. The test suite checks this empirically converges into a (0.60, 0.90) band over many iterations.</w:t>
      </w:r>
    </w:p>
    <w:p>
      <w:pPr>
        <w:pStyle w:val="Heading2"/>
        <w:spacing w:after="120" w:before="320"/>
      </w:pPr>
      <w:r>
        <w:rPr>
          <w:b/>
          <w:bCs/>
          <w:sz w:val="24"/>
          <w:szCs w:val="24"/>
        </w:rPr>
        <w:t xml:space="preserve">2. The gateway probabilistic OR (unchanged)</w:t>
      </w:r>
    </w:p>
    <w:p>
      <w:pPr>
        <w:spacing w:after="140" w:line="276"/>
      </w:pPr>
      <w:r>
        <w:t xml:space="preserve">P(gateway edge fires) = 1 − Π(1 − p_i) for each original edge being combined. Example: two paths with probabilities 0.6 and 0.5 combine to P = 1 − (1−0.6)(1−0.5) = 0.8.</w:t>
      </w:r>
    </w:p>
    <w:p>
      <w:pPr>
        <w:pStyle w:val="Heading2"/>
        <w:spacing w:after="120" w:before="320"/>
      </w:pPr>
      <w:r>
        <w:rPr>
          <w:b/>
          <w:bCs/>
          <w:sz w:val="24"/>
          <w:szCs w:val="24"/>
        </w:rPr>
        <w:t xml:space="preserve">3. Sigmoid score calibration (unchanged)</w:t>
      </w:r>
    </w:p>
    <w:p>
      <w:pPr>
        <w:spacing w:after="140" w:line="276"/>
      </w:pPr>
      <w:r>
        <w:t xml:space="preserve">calibrated_score = 1 / (1 + e^(5.0 × raw_score)). The constant 5.0 is a fixed slope, hand-picked, not fit to any data.</w:t>
      </w:r>
    </w:p>
    <w:p>
      <w:pPr>
        <w:pStyle w:val="Heading2"/>
        <w:spacing w:after="120" w:before="320"/>
      </w:pPr>
      <w:r>
        <w:rPr>
          <w:b/>
          <w:bCs/>
          <w:sz w:val="24"/>
          <w:szCs w:val="24"/>
        </w:rPr>
        <w:t xml:space="preserve">4. Segment-wise recall / row-wise precision (unchanged)</w:t>
      </w:r>
    </w:p>
    <w:p>
      <w:pPr>
        <w:spacing w:after="140" w:line="276"/>
      </w:pPr>
      <w:r>
        <w:t xml:space="preserve">Recall is per contiguous true-attack segment (detected if flagged ≥1 row anywhere inside it); precision stays strictly row-wise. Deliberately rejects the “point-adjust” trick that can make random noise look state-of-the-art on long attack windows.</w:t>
      </w:r>
    </w:p>
    <w:p>
      <w:pPr>
        <w:pStyle w:val="Heading2"/>
        <w:spacing w:after="120" w:before="320"/>
      </w:pPr>
      <w:r>
        <w:rPr>
          <w:b/>
          <w:bCs/>
          <w:sz w:val="24"/>
          <w:szCs w:val="24"/>
        </w:rPr>
        <w:t xml:space="preserve">5. NEW — Weighted noisy-OR evidence fusion</w:t>
      </w:r>
    </w:p>
    <w:p>
      <w:pPr>
        <w:spacing w:after="140" w:line="276"/>
      </w:pPr>
      <w:r>
        <w:t xml:space="preserve">threat_score = 1 − Π_{i fired} (1 − score_i × reliability_i), with a hard override: any Certainty.CONFIRMED fired verdict sets threat_score = 1.0 directly, skipping the product entirely. Contrast with the two alternatives it was chosen over: majority vote throws away confidence and weight information entirely (a rule matching at 0.85 confidence counts the same as a coin-flip detector); a plain weighted average lets a quiet, reliable detector cancel out a loud, unreliable one — the opposite of the intended “more evidence should only ever raise suspicion, never lower it” property noisy-OR guarantees by construction.</w:t>
      </w:r>
    </w:p>
    <w:p>
      <w:pPr>
        <w:spacing w:after="140" w:line="276"/>
      </w:pPr>
      <w:r>
        <w:t xml:space="preserve">Worked example: signature fires at score 0.9 (reliability 0.85 → p₁=0.765); beaconing fires at score 0.6 (reliability 0.50 → p₂=0.30). threat_score = 1 − (1−0.765)(1−0.30) = 1 − 0.1645 = 0.8355 → band LIKELY, action ALERT (if hybrid_gates_alerts were on).</w:t>
      </w:r>
    </w:p>
    <w:p>
      <w:pPr>
        <w:pStyle w:val="Heading2"/>
        <w:spacing w:after="120" w:before="320"/>
      </w:pPr>
      <w:r>
        <w:rPr>
          <w:b/>
          <w:bCs/>
          <w:sz w:val="24"/>
          <w:szCs w:val="24"/>
        </w:rPr>
        <w:t xml:space="preserve">6. The risk index (unchanged)</w:t>
      </w:r>
    </w:p>
    <w:p>
      <w:pPr>
        <w:spacing w:after="140" w:line="276"/>
      </w:pPr>
      <w:r>
        <w:t xml:space="preserve">RISK = Σ severity_weight(alert) × criticality(asset), over unacknowledged alerts, scaled by a documented presentation constant. Acknowledging an alert removes it from the sum. Deliberately not built on CII.</w:t>
      </w:r>
    </w:p>
    <w:p>
      <w:pPr>
        <w:pStyle w:val="Heading2"/>
        <w:spacing w:after="120" w:before="320"/>
      </w:pPr>
      <w:r>
        <w:rPr>
          <w:b/>
          <w:bCs/>
          <w:sz w:val="24"/>
          <w:szCs w:val="24"/>
        </w:rPr>
        <w:t xml:space="preserve">7. AssetRegistry subnet-proximity confidence (unchanged)</w:t>
      </w:r>
    </w:p>
    <w:p>
      <w:pPr>
        <w:spacing w:after="140" w:line="276"/>
      </w:pPr>
      <w:r>
        <w:t xml:space="preserve">confidence = max(0.4, 1.0 − distance × 0.12), accepted only if distance ≤ 5. Not learned — a hand-tuned heuristic. The exact mechanism behind the K8 finding (it only ever fires for 10.0.1.x).</w:t>
      </w:r>
    </w:p>
    <w:p>
      <w:pPr>
        <w:pStyle w:val="Heading1"/>
        <w:pBdr>
          <w:bottom w:val="single" w:color="B45309" w:sz="12" w:space="4"/>
        </w:pBdr>
        <w:spacing w:after="200" w:before="480"/>
      </w:pPr>
      <w:r>
        <w:rPr>
          <w:b/>
          <w:bCs/>
          <w:color w:val="B45309"/>
          <w:sz w:val="30"/>
          <w:szCs w:val="30"/>
        </w:rPr>
        <w:t xml:space="preserve">PART 9 — Database / Data Model Audit</w:t>
      </w:r>
    </w:p>
    <w:p>
      <w:pPr>
        <w:spacing w:after="140" w:line="276"/>
      </w:pPr>
      <w:r>
        <w:t xml:space="preserve">PostgreSQL 16, SQLAlchemy 2.0 (synchronous), psycopg3 driver, connection pool size 5 + overflow 10, pre-ping enabled. No Alembic — schema managed via Base.metadata.create_all(). Unchanged this pass.</w:t>
      </w:r>
    </w:p>
    <w:tbl>
      <w:tblPr>
        <w:tblW w:type="pct" w:w="100%"/>
        <w:tblBorders>
          <w:top w:val="single" w:color="D8CBB0" w:sz="4"/>
          <w:left w:val="single" w:color="D8CBB0" w:sz="4"/>
          <w:bottom w:val="single" w:color="D8CBB0" w:sz="4"/>
          <w:right w:val="single" w:color="D8CBB0" w:sz="4"/>
          <w:insideH w:val="single" w:color="D8CBB0" w:sz="4"/>
          <w:insideV w:val="single" w:color="D8CBB0" w:sz="4"/>
        </w:tblBorders>
      </w:tblPr>
      <w:tblGrid>
        <w:gridCol w:w="100"/>
        <w:gridCol w:w="100"/>
        <w:gridCol w:w="100"/>
      </w:tblGrid>
      <w:tr>
        <w:trPr>
          <w:tblHeader/>
        </w:trPr>
        <w:tc>
          <w:tcPr>
            <w:tcW w:type="pct" w:w="16%"/>
            <w:shd w:fill="1C1917" w:val="clear"/>
            <w:tcMar>
              <w:top w:type="dxa" w:w="100"/>
              <w:left w:type="dxa" w:w="120"/>
              <w:bottom w:type="dxa" w:w="100"/>
              <w:right w:type="dxa" w:w="120"/>
            </w:tcMar>
            <w:vAlign w:val="center"/>
          </w:tcPr>
          <w:p>
            <w:r>
              <w:rPr>
                <w:b/>
                <w:bCs/>
                <w:color w:val="FFFFFF"/>
                <w:sz w:val="19"/>
                <w:szCs w:val="19"/>
              </w:rPr>
              <w:t xml:space="preserve">Table</w:t>
            </w:r>
          </w:p>
        </w:tc>
        <w:tc>
          <w:tcPr>
            <w:tcW w:type="pct" w:w="44%"/>
            <w:shd w:fill="1C1917" w:val="clear"/>
            <w:tcMar>
              <w:top w:type="dxa" w:w="100"/>
              <w:left w:type="dxa" w:w="120"/>
              <w:bottom w:type="dxa" w:w="100"/>
              <w:right w:type="dxa" w:w="120"/>
            </w:tcMar>
            <w:vAlign w:val="center"/>
          </w:tcPr>
          <w:p>
            <w:r>
              <w:rPr>
                <w:b/>
                <w:bCs/>
                <w:color w:val="FFFFFF"/>
                <w:sz w:val="19"/>
                <w:szCs w:val="19"/>
              </w:rPr>
              <w:t xml:space="preserve">Key columns</w:t>
            </w:r>
          </w:p>
        </w:tc>
        <w:tc>
          <w:tcPr>
            <w:tcW w:type="pct" w:w="40%"/>
            <w:shd w:fill="1C1917" w:val="clear"/>
            <w:tcMar>
              <w:top w:type="dxa" w:w="100"/>
              <w:left w:type="dxa" w:w="120"/>
              <w:bottom w:type="dxa" w:w="100"/>
              <w:right w:type="dxa" w:w="120"/>
            </w:tcMar>
            <w:vAlign w:val="center"/>
          </w:tcPr>
          <w:p>
            <w:r>
              <w:rPr>
                <w:b/>
                <w:bCs/>
                <w:color w:val="FFFFFF"/>
                <w:sz w:val="19"/>
                <w:szCs w:val="19"/>
              </w:rPr>
              <w:t xml:space="preserve">Notable constraints</w:t>
            </w:r>
          </w:p>
        </w:tc>
      </w:tr>
      <w:tr>
        <w:tc>
          <w:tcPr>
            <w:tcW w:type="pct" w:w="16%"/>
            <w:tcMar>
              <w:top w:type="dxa" w:w="100"/>
              <w:left w:type="dxa" w:w="120"/>
              <w:bottom w:type="dxa" w:w="100"/>
              <w:right w:type="dxa" w:w="120"/>
            </w:tcMar>
            <w:vAlign w:val="center"/>
          </w:tcPr>
          <w:p>
            <w:r>
              <w:rPr>
                <w:sz w:val="20"/>
                <w:szCs w:val="20"/>
              </w:rPr>
              <w:t xml:space="preserve">assets</w:t>
            </w:r>
          </w:p>
        </w:tc>
        <w:tc>
          <w:tcPr>
            <w:tcW w:type="pct" w:w="44%"/>
            <w:tcMar>
              <w:top w:type="dxa" w:w="100"/>
              <w:left w:type="dxa" w:w="120"/>
              <w:bottom w:type="dxa" w:w="100"/>
              <w:right w:type="dxa" w:w="120"/>
            </w:tcMar>
            <w:vAlign w:val="center"/>
          </w:tcPr>
          <w:p>
            <w:r>
              <w:rPr>
                <w:sz w:val="20"/>
                <w:szCs w:val="20"/>
              </w:rPr>
              <w:t xml:space="preserve">name (unique), ip, type, criticality, purdue_level, is_gateway</w:t>
            </w:r>
          </w:p>
        </w:tc>
        <w:tc>
          <w:tcPr>
            <w:tcW w:type="pct" w:w="40%"/>
            <w:tcMar>
              <w:top w:type="dxa" w:w="100"/>
              <w:left w:type="dxa" w:w="120"/>
              <w:bottom w:type="dxa" w:w="100"/>
              <w:right w:type="dxa" w:w="120"/>
            </w:tcMar>
            <w:vAlign w:val="center"/>
          </w:tcPr>
          <w:p>
            <w:r>
              <w:rPr>
                <w:sz w:val="20"/>
                <w:szCs w:val="20"/>
              </w:rPr>
              <w:t xml:space="preserve">No FKs; seeded from the curated topology</w:t>
            </w:r>
          </w:p>
        </w:tc>
      </w:tr>
      <w:tr>
        <w:tc>
          <w:tcPr>
            <w:tcW w:type="pct" w:w="16%"/>
            <w:shd w:fill="F5F0E8" w:val="clear"/>
            <w:tcMar>
              <w:top w:type="dxa" w:w="100"/>
              <w:left w:type="dxa" w:w="120"/>
              <w:bottom w:type="dxa" w:w="100"/>
              <w:right w:type="dxa" w:w="120"/>
            </w:tcMar>
            <w:vAlign w:val="center"/>
          </w:tcPr>
          <w:p>
            <w:r>
              <w:rPr>
                <w:sz w:val="20"/>
                <w:szCs w:val="20"/>
              </w:rPr>
              <w:t xml:space="preserve">events</w:t>
            </w:r>
          </w:p>
        </w:tc>
        <w:tc>
          <w:tcPr>
            <w:tcW w:type="pct" w:w="44%"/>
            <w:shd w:fill="F5F0E8" w:val="clear"/>
            <w:tcMar>
              <w:top w:type="dxa" w:w="100"/>
              <w:left w:type="dxa" w:w="120"/>
              <w:bottom w:type="dxa" w:w="100"/>
              <w:right w:type="dxa" w:w="120"/>
            </w:tcMar>
            <w:vAlign w:val="center"/>
          </w:tcPr>
          <w:p>
            <w:r>
              <w:rPr>
                <w:sz w:val="20"/>
                <w:szCs w:val="20"/>
              </w:rPr>
              <w:t xml:space="preserve">ts, source_asset/destination_asset (plain strings, NOT FK), replay_session_id, source_row_id, raw JSONB</w:t>
            </w:r>
          </w:p>
        </w:tc>
        <w:tc>
          <w:tcPr>
            <w:tcW w:type="pct" w:w="40%"/>
            <w:shd w:fill="F5F0E8" w:val="clear"/>
            <w:tcMar>
              <w:top w:type="dxa" w:w="100"/>
              <w:left w:type="dxa" w:w="120"/>
              <w:bottom w:type="dxa" w:w="100"/>
              <w:right w:type="dxa" w:w="120"/>
            </w:tcMar>
            <w:vAlign w:val="center"/>
          </w:tcPr>
          <w:p>
            <w:r>
              <w:rPr>
                <w:sz w:val="20"/>
                <w:szCs w:val="20"/>
              </w:rPr>
              <w:t xml:space="preserve">UNIQUE(replay_session_id, source_row_id) for idempotent replay</w:t>
            </w:r>
          </w:p>
        </w:tc>
      </w:tr>
      <w:tr>
        <w:tc>
          <w:tcPr>
            <w:tcW w:type="pct" w:w="16%"/>
            <w:tcMar>
              <w:top w:type="dxa" w:w="100"/>
              <w:left w:type="dxa" w:w="120"/>
              <w:bottom w:type="dxa" w:w="100"/>
              <w:right w:type="dxa" w:w="120"/>
            </w:tcMar>
            <w:vAlign w:val="center"/>
          </w:tcPr>
          <w:p>
            <w:r>
              <w:rPr>
                <w:sz w:val="20"/>
                <w:szCs w:val="20"/>
              </w:rPr>
              <w:t xml:space="preserve">event_scores</w:t>
            </w:r>
          </w:p>
        </w:tc>
        <w:tc>
          <w:tcPr>
            <w:tcW w:type="pct" w:w="44%"/>
            <w:tcMar>
              <w:top w:type="dxa" w:w="100"/>
              <w:left w:type="dxa" w:w="120"/>
              <w:bottom w:type="dxa" w:w="100"/>
              <w:right w:type="dxa" w:w="120"/>
            </w:tcMar>
            <w:vAlign w:val="center"/>
          </w:tcPr>
          <w:p>
            <w:r>
              <w:rPr>
                <w:sz w:val="20"/>
                <w:szCs w:val="20"/>
              </w:rPr>
              <w:t xml:space="preserve">event_id (FK, CASCADE), detector, raw_score, calibrated_score, is_anomaly, confidence</w:t>
            </w:r>
          </w:p>
        </w:tc>
        <w:tc>
          <w:tcPr>
            <w:tcW w:type="pct" w:w="40%"/>
            <w:tcMar>
              <w:top w:type="dxa" w:w="100"/>
              <w:left w:type="dxa" w:w="120"/>
              <w:bottom w:type="dxa" w:w="100"/>
              <w:right w:type="dxa" w:w="120"/>
            </w:tcMar>
            <w:vAlign w:val="center"/>
          </w:tcPr>
          <w:p>
            <w:r>
              <w:rPr>
                <w:sz w:val="20"/>
                <w:szCs w:val="20"/>
              </w:rPr>
              <w:t xml:space="preserve">One row per detector per event. </w:t>
            </w:r>
            <w:r>
              <w:rPr>
                <w:b/>
                <w:bCs/>
                <w:sz w:val="20"/>
                <w:szCs w:val="20"/>
              </w:rPr>
              <w:t xml:space="preserve">Updated:</w:t>
            </w:r>
            <w:r>
              <w:rPr>
                <w:sz w:val="20"/>
                <w:szCs w:val="20"/>
              </w:rPr>
              <w:t xml:space="preserve"> detector now takes up to 6 real values in production (isolation_forest, tripwire, random_forest, signature, beaconing, hybrid) — the schema needed zero migration to support this, exactly as designed</w:t>
            </w:r>
          </w:p>
        </w:tc>
      </w:tr>
      <w:tr>
        <w:tc>
          <w:tcPr>
            <w:tcW w:type="pct" w:w="16%"/>
            <w:shd w:fill="F5F0E8" w:val="clear"/>
            <w:tcMar>
              <w:top w:type="dxa" w:w="100"/>
              <w:left w:type="dxa" w:w="120"/>
              <w:bottom w:type="dxa" w:w="100"/>
              <w:right w:type="dxa" w:w="120"/>
            </w:tcMar>
            <w:vAlign w:val="center"/>
          </w:tcPr>
          <w:p>
            <w:r>
              <w:rPr>
                <w:sz w:val="20"/>
                <w:szCs w:val="20"/>
              </w:rPr>
              <w:t xml:space="preserve">cii_snapshots</w:t>
            </w:r>
          </w:p>
        </w:tc>
        <w:tc>
          <w:tcPr>
            <w:tcW w:type="pct" w:w="44%"/>
            <w:shd w:fill="F5F0E8" w:val="clear"/>
            <w:tcMar>
              <w:top w:type="dxa" w:w="100"/>
              <w:left w:type="dxa" w:w="120"/>
              <w:bottom w:type="dxa" w:w="100"/>
              <w:right w:type="dxa" w:w="120"/>
            </w:tcMar>
            <w:vAlign w:val="center"/>
          </w:tcPr>
          <w:p>
            <w:r>
              <w:rPr>
                <w:sz w:val="20"/>
                <w:szCs w:val="20"/>
              </w:rPr>
              <w:t xml:space="preserve">origin_asset, cii_median/p5/p95, impacted (JSONB), hop_details (JSONB), trigger_event_id (FK, SET NULL)</w:t>
            </w:r>
          </w:p>
        </w:tc>
        <w:tc>
          <w:tcPr>
            <w:tcW w:type="pct" w:w="40%"/>
            <w:shd w:fill="F5F0E8" w:val="clear"/>
            <w:tcMar>
              <w:top w:type="dxa" w:w="100"/>
              <w:left w:type="dxa" w:w="120"/>
              <w:bottom w:type="dxa" w:w="100"/>
              <w:right w:type="dxa" w:w="120"/>
            </w:tcMar>
            <w:vAlign w:val="center"/>
          </w:tcPr>
          <w:p>
            <w:r>
              <w:rPr>
                <w:sz w:val="20"/>
                <w:szCs w:val="20"/>
              </w:rPr>
              <w:t xml:space="preserve">Full Monte Carlo distribution summary persisted per triggered simulation</w:t>
            </w:r>
          </w:p>
        </w:tc>
      </w:tr>
      <w:tr>
        <w:tc>
          <w:tcPr>
            <w:tcW w:type="pct" w:w="16%"/>
            <w:tcMar>
              <w:top w:type="dxa" w:w="100"/>
              <w:left w:type="dxa" w:w="120"/>
              <w:bottom w:type="dxa" w:w="100"/>
              <w:right w:type="dxa" w:w="120"/>
            </w:tcMar>
            <w:vAlign w:val="center"/>
          </w:tcPr>
          <w:p>
            <w:r>
              <w:rPr>
                <w:sz w:val="20"/>
                <w:szCs w:val="20"/>
              </w:rPr>
              <w:t xml:space="preserve">alerts</w:t>
            </w:r>
          </w:p>
        </w:tc>
        <w:tc>
          <w:tcPr>
            <w:tcW w:type="pct" w:w="44%"/>
            <w:tcMar>
              <w:top w:type="dxa" w:w="100"/>
              <w:left w:type="dxa" w:w="120"/>
              <w:bottom w:type="dxa" w:w="100"/>
              <w:right w:type="dxa" w:w="120"/>
            </w:tcMar>
            <w:vAlign w:val="center"/>
          </w:tcPr>
          <w:p>
            <w:r>
              <w:rPr>
                <w:sz w:val="20"/>
                <w:szCs w:val="20"/>
              </w:rPr>
              <w:t xml:space="preserve">severity, asset, title, explanation (JSONB), cii_snapshot_id (FK, SET NULL), acknowledged, acknowledged_at</w:t>
            </w:r>
          </w:p>
        </w:tc>
        <w:tc>
          <w:tcPr>
            <w:tcW w:type="pct" w:w="40%"/>
            <w:tcMar>
              <w:top w:type="dxa" w:w="100"/>
              <w:left w:type="dxa" w:w="120"/>
              <w:bottom w:type="dxa" w:w="100"/>
              <w:right w:type="dxa" w:w="120"/>
            </w:tcMar>
            <w:vAlign w:val="center"/>
          </w:tcPr>
          <w:p>
            <w:r>
              <w:rPr>
                <w:b/>
                <w:bCs/>
                <w:sz w:val="20"/>
                <w:szCs w:val="20"/>
              </w:rPr>
              <w:t xml:space="preserve">Updated:</w:t>
            </w:r>
            <w:r>
              <w:rPr>
                <w:sz w:val="20"/>
                <w:szCs w:val="20"/>
              </w:rPr>
              <w:t xml:space="preserve"> a hybrid-gated alert (when hybrid_gates_alerts=True) writes a distinct title ("Hybrid detection: correlated signal") and an explanation JSONB carrying every contributing detector's own verdict — not the volumetric explanation format</w:t>
            </w:r>
          </w:p>
        </w:tc>
      </w:tr>
    </w:tbl>
    <w:p>
      <w:pPr>
        <w:spacing w:after="140" w:line="276"/>
      </w:pPr>
      <w:r>
        <w:t xml:space="preserve">Deliberate design call, unchanged: events.source_asset/destination_asset are plain strings, not foreign keys into assets (Decision D1) — trades referential integrity for resilience of an append-only telemetry log.</w:t>
      </w:r>
    </w:p>
    <w:p>
      <w:pPr>
        <w:spacing w:after="140" w:line="276"/>
      </w:pPr>
      <w:r>
        <w:rPr>
          <w:b/>
          <w:bCs/>
          <w:color w:val="15803D"/>
          <w:sz w:val="19"/>
          <w:szCs w:val="19"/>
        </w:rPr>
        <w:t xml:space="preserve">[FIXED THIS PASS] </w:t>
      </w:r>
      <w:r>
        <w:rPr>
          <w:b/>
          <w:bCs/>
        </w:rPr>
        <w:t xml:space="preserve">Retention — extended this pass.</w:t>
      </w:r>
      <w:r>
        <w:t xml:space="preserve"> Was purely row-count based (default cap 500,000). Now also supports an optional, additive age-based bound (max_age_days) — a row is pruned if it violates EITHER bound. Off by default, preserving prior behavior exactly; this closes a gap the first edition named as “not specified.”</w:t>
      </w:r>
    </w:p>
    <w:p>
      <w:pPr>
        <w:pStyle w:val="Heading1"/>
        <w:pBdr>
          <w:bottom w:val="single" w:color="B45309" w:sz="12" w:space="4"/>
        </w:pBdr>
        <w:spacing w:after="200" w:before="480"/>
      </w:pPr>
      <w:r>
        <w:rPr>
          <w:b/>
          <w:bCs/>
          <w:color w:val="B45309"/>
          <w:sz w:val="30"/>
          <w:szCs w:val="30"/>
        </w:rPr>
        <w:t xml:space="preserve">PART 10 — API / Backend Audit</w:t>
      </w:r>
    </w:p>
    <w:p>
      <w:pPr>
        <w:spacing w:after="140" w:line="276"/>
      </w:pPr>
      <w:r>
        <w:rPr>
          <w:b/>
          <w:bCs/>
          <w:color w:val="15803D"/>
          <w:sz w:val="19"/>
          <w:szCs w:val="19"/>
        </w:rPr>
        <w:t xml:space="preserve">[FACT] </w:t>
      </w:r>
      <w:r>
        <w:t xml:space="preserve">12 REST routes + 1 WebSocket, all in backend/routes.py — route count unchanged. </w:t>
      </w:r>
      <w:r>
        <w:rPr>
          <w:b/>
          <w:bCs/>
        </w:rPr>
        <w:t xml:space="preserve">What changed:</w:t>
      </w:r>
      <w:r>
        <w:t xml:space="preserve"> state-changing routes (replay/start|stop|speed, inject, alerts/{id}/ack) now sit behind an optional bearer-token dependency AND a per-IP rate limiter (backend/security.py). Off by default, so the loopback-bound demo posture is unchanged unless an operator opts in via AEGIS_API_TOKEN.</w:t>
      </w:r>
    </w:p>
    <w:tbl>
      <w:tblPr>
        <w:tblW w:type="pct" w:w="100%"/>
        <w:tblBorders>
          <w:top w:val="single" w:color="D8CBB0" w:sz="4"/>
          <w:left w:val="single" w:color="D8CBB0" w:sz="4"/>
          <w:bottom w:val="single" w:color="D8CBB0" w:sz="4"/>
          <w:right w:val="single" w:color="D8CBB0" w:sz="4"/>
          <w:insideH w:val="single" w:color="D8CBB0" w:sz="4"/>
          <w:insideV w:val="single" w:color="D8CBB0" w:sz="4"/>
        </w:tblBorders>
      </w:tblPr>
      <w:tblGrid>
        <w:gridCol w:w="100"/>
        <w:gridCol w:w="100"/>
        <w:gridCol w:w="100"/>
      </w:tblGrid>
      <w:tr>
        <w:trPr>
          <w:tblHeader/>
        </w:trPr>
        <w:tc>
          <w:tcPr>
            <w:tcW w:type="pct" w:w="22%"/>
            <w:shd w:fill="1C1917" w:val="clear"/>
            <w:tcMar>
              <w:top w:type="dxa" w:w="100"/>
              <w:left w:type="dxa" w:w="120"/>
              <w:bottom w:type="dxa" w:w="100"/>
              <w:right w:type="dxa" w:w="120"/>
            </w:tcMar>
            <w:vAlign w:val="center"/>
          </w:tcPr>
          <w:p>
            <w:r>
              <w:rPr>
                <w:b/>
                <w:bCs/>
                <w:color w:val="FFFFFF"/>
                <w:sz w:val="19"/>
                <w:szCs w:val="19"/>
              </w:rPr>
              <w:t xml:space="preserve">Route</w:t>
            </w:r>
          </w:p>
        </w:tc>
        <w:tc>
          <w:tcPr>
            <w:tcW w:type="pct" w:w="30%"/>
            <w:shd w:fill="1C1917" w:val="clear"/>
            <w:tcMar>
              <w:top w:type="dxa" w:w="100"/>
              <w:left w:type="dxa" w:w="120"/>
              <w:bottom w:type="dxa" w:w="100"/>
              <w:right w:type="dxa" w:w="120"/>
            </w:tcMar>
            <w:vAlign w:val="center"/>
          </w:tcPr>
          <w:p>
            <w:r>
              <w:rPr>
                <w:b/>
                <w:bCs/>
                <w:color w:val="FFFFFF"/>
                <w:sz w:val="19"/>
                <w:szCs w:val="19"/>
              </w:rPr>
              <w:t xml:space="preserve">Validation</w:t>
            </w:r>
          </w:p>
        </w:tc>
        <w:tc>
          <w:tcPr>
            <w:tcW w:type="pct" w:w="48%"/>
            <w:shd w:fill="1C1917" w:val="clear"/>
            <w:tcMar>
              <w:top w:type="dxa" w:w="100"/>
              <w:left w:type="dxa" w:w="120"/>
              <w:bottom w:type="dxa" w:w="100"/>
              <w:right w:type="dxa" w:w="120"/>
            </w:tcMar>
            <w:vAlign w:val="center"/>
          </w:tcPr>
          <w:p>
            <w:r>
              <w:rPr>
                <w:b/>
                <w:bCs/>
                <w:color w:val="FFFFFF"/>
                <w:sz w:val="19"/>
                <w:szCs w:val="19"/>
              </w:rPr>
              <w:t xml:space="preserve">Notable behavior</w:t>
            </w:r>
          </w:p>
        </w:tc>
      </w:tr>
      <w:tr>
        <w:tc>
          <w:tcPr>
            <w:tcW w:type="pct" w:w="22%"/>
            <w:tcMar>
              <w:top w:type="dxa" w:w="100"/>
              <w:left w:type="dxa" w:w="120"/>
              <w:bottom w:type="dxa" w:w="100"/>
              <w:right w:type="dxa" w:w="120"/>
            </w:tcMar>
            <w:vAlign w:val="center"/>
          </w:tcPr>
          <w:p>
            <w:r>
              <w:rPr>
                <w:sz w:val="20"/>
                <w:szCs w:val="20"/>
              </w:rPr>
              <w:t xml:space="preserve">GET /api/health</w:t>
            </w:r>
          </w:p>
        </w:tc>
        <w:tc>
          <w:tcPr>
            <w:tcW w:type="pct" w:w="30%"/>
            <w:tcMar>
              <w:top w:type="dxa" w:w="100"/>
              <w:left w:type="dxa" w:w="120"/>
              <w:bottom w:type="dxa" w:w="100"/>
              <w:right w:type="dxa" w:w="120"/>
            </w:tcMar>
            <w:vAlign w:val="center"/>
          </w:tcPr>
          <w:p>
            <w:r>
              <w:rPr>
                <w:sz w:val="20"/>
                <w:szCs w:val="20"/>
              </w:rPr>
              <w:t xml:space="preserve">none</w:t>
            </w:r>
          </w:p>
        </w:tc>
        <w:tc>
          <w:tcPr>
            <w:tcW w:type="pct" w:w="48%"/>
            <w:tcMar>
              <w:top w:type="dxa" w:w="100"/>
              <w:left w:type="dxa" w:w="120"/>
              <w:bottom w:type="dxa" w:w="100"/>
              <w:right w:type="dxa" w:w="120"/>
            </w:tcMar>
            <w:vAlign w:val="center"/>
          </w:tcPr>
          <w:p>
            <w:r>
              <w:rPr>
                <w:sz w:val="20"/>
                <w:szCs w:val="20"/>
              </w:rPr>
              <w:t xml:space="preserve">SELECT 1 against Postgres; 503 if unreachable</w:t>
            </w:r>
          </w:p>
        </w:tc>
      </w:tr>
      <w:tr>
        <w:tc>
          <w:tcPr>
            <w:tcW w:type="pct" w:w="22%"/>
            <w:shd w:fill="F5F0E8" w:val="clear"/>
            <w:tcMar>
              <w:top w:type="dxa" w:w="100"/>
              <w:left w:type="dxa" w:w="120"/>
              <w:bottom w:type="dxa" w:w="100"/>
              <w:right w:type="dxa" w:w="120"/>
            </w:tcMar>
            <w:vAlign w:val="center"/>
          </w:tcPr>
          <w:p>
            <w:r>
              <w:rPr>
                <w:sz w:val="20"/>
                <w:szCs w:val="20"/>
              </w:rPr>
              <w:t xml:space="preserve">GET /api/topology</w:t>
            </w:r>
          </w:p>
        </w:tc>
        <w:tc>
          <w:tcPr>
            <w:tcW w:type="pct" w:w="30%"/>
            <w:shd w:fill="F5F0E8" w:val="clear"/>
            <w:tcMar>
              <w:top w:type="dxa" w:w="100"/>
              <w:left w:type="dxa" w:w="120"/>
              <w:bottom w:type="dxa" w:w="100"/>
              <w:right w:type="dxa" w:w="120"/>
            </w:tcMar>
            <w:vAlign w:val="center"/>
          </w:tcPr>
          <w:p>
            <w:r>
              <w:rPr>
                <w:sz w:val="20"/>
                <w:szCs w:val="20"/>
              </w:rPr>
              <w:t xml:space="preserve">none</w:t>
            </w:r>
          </w:p>
        </w:tc>
        <w:tc>
          <w:tcPr>
            <w:tcW w:type="pct" w:w="48%"/>
            <w:shd w:fill="F5F0E8" w:val="clear"/>
            <w:tcMar>
              <w:top w:type="dxa" w:w="100"/>
              <w:left w:type="dxa" w:w="120"/>
              <w:bottom w:type="dxa" w:w="100"/>
              <w:right w:type="dxa" w:w="120"/>
            </w:tcMar>
            <w:vAlign w:val="center"/>
          </w:tcPr>
          <w:p>
            <w:r>
              <w:rPr>
                <w:sz w:val="20"/>
                <w:szCs w:val="20"/>
              </w:rPr>
              <w:t xml:space="preserve">Pure in-memory graph build, no DB hit. </w:t>
            </w:r>
            <w:r>
              <w:rPr>
                <w:b/>
                <w:bCs/>
                <w:sz w:val="20"/>
                <w:szCs w:val="20"/>
              </w:rPr>
              <w:t xml:space="preserve">Now returns all 50 nodes findable in the frontend's compact view too — a rendering fix, not an API change</w:t>
            </w:r>
          </w:p>
        </w:tc>
      </w:tr>
      <w:tr>
        <w:tc>
          <w:tcPr>
            <w:tcW w:type="pct" w:w="22%"/>
            <w:tcMar>
              <w:top w:type="dxa" w:w="100"/>
              <w:left w:type="dxa" w:w="120"/>
              <w:bottom w:type="dxa" w:w="100"/>
              <w:right w:type="dxa" w:w="120"/>
            </w:tcMar>
            <w:vAlign w:val="center"/>
          </w:tcPr>
          <w:p>
            <w:r>
              <w:rPr>
                <w:sz w:val="20"/>
                <w:szCs w:val="20"/>
              </w:rPr>
              <w:t xml:space="preserve">GET /api/events</w:t>
            </w:r>
          </w:p>
        </w:tc>
        <w:tc>
          <w:tcPr>
            <w:tcW w:type="pct" w:w="30%"/>
            <w:tcMar>
              <w:top w:type="dxa" w:w="100"/>
              <w:left w:type="dxa" w:w="120"/>
              <w:bottom w:type="dxa" w:w="100"/>
              <w:right w:type="dxa" w:w="120"/>
            </w:tcMar>
            <w:vAlign w:val="center"/>
          </w:tcPr>
          <w:p>
            <w:r>
              <w:rPr>
                <w:sz w:val="20"/>
                <w:szCs w:val="20"/>
              </w:rPr>
              <w:t xml:space="preserve">limit bounded, since is an EVENT ID</w:t>
            </w:r>
          </w:p>
        </w:tc>
        <w:tc>
          <w:tcPr>
            <w:tcW w:type="pct" w:w="48%"/>
            <w:tcMar>
              <w:top w:type="dxa" w:w="100"/>
              <w:left w:type="dxa" w:w="120"/>
              <w:bottom w:type="dxa" w:w="100"/>
              <w:right w:type="dxa" w:w="120"/>
            </w:tcMar>
            <w:vAlign w:val="center"/>
          </w:tcPr>
          <w:p>
            <w:r>
              <w:rPr>
                <w:sz w:val="20"/>
                <w:szCs w:val="20"/>
              </w:rPr>
              <w:t xml:space="preserve">Unchanged: the timestamp-cursor bug this note documents was already fixed before the first edition</w:t>
            </w:r>
          </w:p>
        </w:tc>
      </w:tr>
      <w:tr>
        <w:tc>
          <w:tcPr>
            <w:tcW w:type="pct" w:w="22%"/>
            <w:shd w:fill="F5F0E8" w:val="clear"/>
            <w:tcMar>
              <w:top w:type="dxa" w:w="100"/>
              <w:left w:type="dxa" w:w="120"/>
              <w:bottom w:type="dxa" w:w="100"/>
              <w:right w:type="dxa" w:w="120"/>
            </w:tcMar>
            <w:vAlign w:val="center"/>
          </w:tcPr>
          <w:p>
            <w:r>
              <w:rPr>
                <w:sz w:val="20"/>
                <w:szCs w:val="20"/>
              </w:rPr>
              <w:t xml:space="preserve">POST /api/alerts/{id}/ack</w:t>
            </w:r>
          </w:p>
        </w:tc>
        <w:tc>
          <w:tcPr>
            <w:tcW w:type="pct" w:w="30%"/>
            <w:shd w:fill="F5F0E8" w:val="clear"/>
            <w:tcMar>
              <w:top w:type="dxa" w:w="100"/>
              <w:left w:type="dxa" w:w="120"/>
              <w:bottom w:type="dxa" w:w="100"/>
              <w:right w:type="dxa" w:w="120"/>
            </w:tcMar>
            <w:vAlign w:val="center"/>
          </w:tcPr>
          <w:p>
            <w:r>
              <w:rPr>
                <w:sz w:val="20"/>
                <w:szCs w:val="20"/>
              </w:rPr>
              <w:t xml:space="preserve">404 if not found; </w:t>
            </w:r>
            <w:r>
              <w:rPr>
                <w:b/>
                <w:bCs/>
                <w:sz w:val="20"/>
                <w:szCs w:val="20"/>
              </w:rPr>
              <w:t xml:space="preserve">now requires a valid bearer token if one is configured</w:t>
            </w:r>
          </w:p>
        </w:tc>
        <w:tc>
          <w:tcPr>
            <w:tcW w:type="pct" w:w="48%"/>
            <w:shd w:fill="F5F0E8" w:val="clear"/>
            <w:tcMar>
              <w:top w:type="dxa" w:w="100"/>
              <w:left w:type="dxa" w:w="120"/>
              <w:bottom w:type="dxa" w:w="100"/>
              <w:right w:type="dxa" w:w="120"/>
            </w:tcMar>
            <w:vAlign w:val="center"/>
          </w:tcPr>
          <w:p>
            <w:r>
              <w:rPr>
                <w:sz w:val="20"/>
                <w:szCs w:val="20"/>
              </w:rPr>
              <w:t xml:space="preserve">Idempotent — repeat ack is a no-op</w:t>
            </w:r>
          </w:p>
        </w:tc>
      </w:tr>
      <w:tr>
        <w:tc>
          <w:tcPr>
            <w:tcW w:type="pct" w:w="22%"/>
            <w:tcMar>
              <w:top w:type="dxa" w:w="100"/>
              <w:left w:type="dxa" w:w="120"/>
              <w:bottom w:type="dxa" w:w="100"/>
              <w:right w:type="dxa" w:w="120"/>
            </w:tcMar>
            <w:vAlign w:val="center"/>
          </w:tcPr>
          <w:p>
            <w:r>
              <w:rPr>
                <w:sz w:val="20"/>
                <w:szCs w:val="20"/>
              </w:rPr>
              <w:t xml:space="preserve">GET /api/cii/{asset}</w:t>
            </w:r>
          </w:p>
        </w:tc>
        <w:tc>
          <w:tcPr>
            <w:tcW w:type="pct" w:w="30%"/>
            <w:tcMar>
              <w:top w:type="dxa" w:w="100"/>
              <w:left w:type="dxa" w:w="120"/>
              <w:bottom w:type="dxa" w:w="100"/>
              <w:right w:type="dxa" w:w="120"/>
            </w:tcMar>
            <w:vAlign w:val="center"/>
          </w:tcPr>
          <w:p>
            <w:r>
              <w:rPr>
                <w:sz w:val="20"/>
                <w:szCs w:val="20"/>
              </w:rPr>
              <w:t xml:space="preserve">anomaly_score bounded (0,1]</w:t>
            </w:r>
          </w:p>
        </w:tc>
        <w:tc>
          <w:tcPr>
            <w:tcW w:type="pct" w:w="48%"/>
            <w:tcMar>
              <w:top w:type="dxa" w:w="100"/>
              <w:left w:type="dxa" w:w="120"/>
              <w:bottom w:type="dxa" w:w="100"/>
              <w:right w:type="dxa" w:w="120"/>
            </w:tcMar>
            <w:vAlign w:val="center"/>
          </w:tcPr>
          <w:p>
            <w:r>
              <w:rPr>
                <w:sz w:val="20"/>
                <w:szCs w:val="20"/>
              </w:rPr>
              <w:t xml:space="preserve">Computed on demand, no caching beyond the ingest pipeline's own bounded LRU cache. </w:t>
            </w:r>
            <w:r>
              <w:rPr>
                <w:b/>
                <w:bCs/>
                <w:sz w:val="20"/>
                <w:szCs w:val="20"/>
              </w:rPr>
              <w:t xml:space="preserve">Cache-hit fix this pass:</w:t>
            </w:r>
            <w:r>
              <w:rPr>
                <w:sz w:val="20"/>
                <w:szCs w:val="20"/>
              </w:rPr>
              <w:t xml:space="preserve"> a cached CII result now correctly carries its full data through to any caller that needs it, not just its snapshot id</w:t>
            </w:r>
          </w:p>
        </w:tc>
      </w:tr>
      <w:tr>
        <w:tc>
          <w:tcPr>
            <w:tcW w:type="pct" w:w="22%"/>
            <w:shd w:fill="F5F0E8" w:val="clear"/>
            <w:tcMar>
              <w:top w:type="dxa" w:w="100"/>
              <w:left w:type="dxa" w:w="120"/>
              <w:bottom w:type="dxa" w:w="100"/>
              <w:right w:type="dxa" w:w="120"/>
            </w:tcMar>
            <w:vAlign w:val="center"/>
          </w:tcPr>
          <w:p>
            <w:r>
              <w:rPr>
                <w:sz w:val="20"/>
                <w:szCs w:val="20"/>
              </w:rPr>
              <w:t xml:space="preserve">POST /api/replay/start|stop|speed</w:t>
            </w:r>
          </w:p>
        </w:tc>
        <w:tc>
          <w:tcPr>
            <w:tcW w:type="pct" w:w="30%"/>
            <w:shd w:fill="F5F0E8" w:val="clear"/>
            <w:tcMar>
              <w:top w:type="dxa" w:w="100"/>
              <w:left w:type="dxa" w:w="120"/>
              <w:bottom w:type="dxa" w:w="100"/>
              <w:right w:type="dxa" w:w="120"/>
            </w:tcMar>
            <w:vAlign w:val="center"/>
          </w:tcPr>
          <w:p>
            <w:r>
              <w:rPr>
                <w:sz w:val="20"/>
                <w:szCs w:val="20"/>
              </w:rPr>
              <w:t xml:space="preserve">Pydantic field bounds; </w:t>
            </w:r>
            <w:r>
              <w:rPr>
                <w:b/>
                <w:bCs/>
                <w:sz w:val="20"/>
                <w:szCs w:val="20"/>
              </w:rPr>
              <w:t xml:space="preserve">now token- and rate-limit-gated</w:t>
            </w:r>
          </w:p>
        </w:tc>
        <w:tc>
          <w:tcPr>
            <w:tcW w:type="pct" w:w="48%"/>
            <w:shd w:fill="F5F0E8" w:val="clear"/>
            <w:tcMar>
              <w:top w:type="dxa" w:w="100"/>
              <w:left w:type="dxa" w:w="120"/>
              <w:bottom w:type="dxa" w:w="100"/>
              <w:right w:type="dxa" w:w="120"/>
            </w:tcMar>
            <w:vAlign w:val="center"/>
          </w:tcPr>
          <w:p>
            <w:r>
              <w:rPr>
                <w:sz w:val="20"/>
                <w:szCs w:val="20"/>
              </w:rPr>
              <w:t xml:space="preserve">409 if already running/not running</w:t>
            </w:r>
          </w:p>
        </w:tc>
      </w:tr>
      <w:tr>
        <w:tc>
          <w:tcPr>
            <w:tcW w:type="pct" w:w="22%"/>
            <w:tcMar>
              <w:top w:type="dxa" w:w="100"/>
              <w:left w:type="dxa" w:w="120"/>
              <w:bottom w:type="dxa" w:w="100"/>
              <w:right w:type="dxa" w:w="120"/>
            </w:tcMar>
            <w:vAlign w:val="center"/>
          </w:tcPr>
          <w:p>
            <w:r>
              <w:rPr>
                <w:sz w:val="20"/>
                <w:szCs w:val="20"/>
              </w:rPr>
              <w:t xml:space="preserve">POST /api/inject</w:t>
            </w:r>
          </w:p>
        </w:tc>
        <w:tc>
          <w:tcPr>
            <w:tcW w:type="pct" w:w="30%"/>
            <w:tcMar>
              <w:top w:type="dxa" w:w="100"/>
              <w:left w:type="dxa" w:w="120"/>
              <w:bottom w:type="dxa" w:w="100"/>
              <w:right w:type="dxa" w:w="120"/>
            </w:tcMar>
            <w:vAlign w:val="center"/>
          </w:tcPr>
          <w:p>
            <w:r>
              <w:rPr>
                <w:sz w:val="20"/>
                <w:szCs w:val="20"/>
              </w:rPr>
              <w:t xml:space="preserve">Scenario/target/count validated; </w:t>
            </w:r>
            <w:r>
              <w:rPr>
                <w:b/>
                <w:bCs/>
                <w:sz w:val="20"/>
                <w:szCs w:val="20"/>
              </w:rPr>
              <w:t xml:space="preserve">now token- and rate-limit-gated</w:t>
            </w:r>
            <w:r>
              <w:rPr>
                <w:sz w:val="20"/>
                <w:szCs w:val="20"/>
              </w:rPr>
              <w:t xml:space="preserve">; 409 if no replay running</w:t>
            </w:r>
          </w:p>
        </w:tc>
        <w:tc>
          <w:tcPr>
            <w:tcW w:type="pct" w:w="48%"/>
            <w:tcMar>
              <w:top w:type="dxa" w:w="100"/>
              <w:left w:type="dxa" w:w="120"/>
              <w:bottom w:type="dxa" w:w="100"/>
              <w:right w:type="dxa" w:w="120"/>
            </w:tcMar>
            <w:vAlign w:val="center"/>
          </w:tcPr>
          <w:p>
            <w:r>
              <w:rPr>
                <w:sz w:val="20"/>
                <w:szCs w:val="20"/>
              </w:rPr>
              <w:t xml:space="preserve">Re-targets real historical attack flows onto a chosen asset; 422 for unknown scenario/target</w:t>
            </w:r>
          </w:p>
        </w:tc>
      </w:tr>
      <w:tr>
        <w:tc>
          <w:tcPr>
            <w:tcW w:type="pct" w:w="22%"/>
            <w:shd w:fill="F5F0E8" w:val="clear"/>
            <w:tcMar>
              <w:top w:type="dxa" w:w="100"/>
              <w:left w:type="dxa" w:w="120"/>
              <w:bottom w:type="dxa" w:w="100"/>
              <w:right w:type="dxa" w:w="120"/>
            </w:tcMar>
            <w:vAlign w:val="center"/>
          </w:tcPr>
          <w:p>
            <w:r>
              <w:rPr>
                <w:sz w:val="20"/>
                <w:szCs w:val="20"/>
              </w:rPr>
              <w:t xml:space="preserve">GET /api/stats</w:t>
            </w:r>
          </w:p>
        </w:tc>
        <w:tc>
          <w:tcPr>
            <w:tcW w:type="pct" w:w="30%"/>
            <w:shd w:fill="F5F0E8" w:val="clear"/>
            <w:tcMar>
              <w:top w:type="dxa" w:w="100"/>
              <w:left w:type="dxa" w:w="120"/>
              <w:bottom w:type="dxa" w:w="100"/>
              <w:right w:type="dxa" w:w="120"/>
            </w:tcMar>
            <w:vAlign w:val="center"/>
          </w:tcPr>
          <w:p>
            <w:r>
              <w:rPr>
                <w:sz w:val="20"/>
                <w:szCs w:val="20"/>
              </w:rPr>
              <w:t xml:space="preserve">none</w:t>
            </w:r>
          </w:p>
        </w:tc>
        <w:tc>
          <w:tcPr>
            <w:tcW w:type="pct" w:w="48%"/>
            <w:shd w:fill="F5F0E8" w:val="clear"/>
            <w:tcMar>
              <w:top w:type="dxa" w:w="100"/>
              <w:left w:type="dxa" w:w="120"/>
              <w:bottom w:type="dxa" w:w="100"/>
              <w:right w:type="dxa" w:w="120"/>
            </w:tcMar>
            <w:vAlign w:val="center"/>
          </w:tcPr>
          <w:p>
            <w:r>
              <w:rPr>
                <w:sz w:val="20"/>
                <w:szCs w:val="20"/>
              </w:rPr>
              <w:t xml:space="preserve">Ingest counters are process-lifetime in-memory. </w:t>
            </w:r>
            <w:r>
              <w:rPr>
                <w:b/>
                <w:bCs/>
                <w:sz w:val="20"/>
                <w:szCs w:val="20"/>
              </w:rPr>
              <w:t xml:space="preserve">New counters this pass:</w:t>
            </w:r>
            <w:r>
              <w:rPr>
                <w:sz w:val="20"/>
                <w:szCs w:val="20"/>
              </w:rPr>
              <w:t xml:space="preserve"> hybrid_signature_hits, hybrid_beaconing_hits, hybrid_likely_or_above, hybrid_gated_alerts</w:t>
            </w:r>
          </w:p>
        </w:tc>
      </w:tr>
      <w:tr>
        <w:tc>
          <w:tcPr>
            <w:tcW w:type="pct" w:w="22%"/>
            <w:tcMar>
              <w:top w:type="dxa" w:w="100"/>
              <w:left w:type="dxa" w:w="120"/>
              <w:bottom w:type="dxa" w:w="100"/>
              <w:right w:type="dxa" w:w="120"/>
            </w:tcMar>
            <w:vAlign w:val="center"/>
          </w:tcPr>
          <w:p>
            <w:r>
              <w:rPr>
                <w:sz w:val="20"/>
                <w:szCs w:val="20"/>
              </w:rPr>
              <w:t xml:space="preserve">WS /ws/stream</w:t>
            </w:r>
          </w:p>
        </w:tc>
        <w:tc>
          <w:tcPr>
            <w:tcW w:type="pct" w:w="30%"/>
            <w:tcMar>
              <w:top w:type="dxa" w:w="100"/>
              <w:left w:type="dxa" w:w="120"/>
              <w:bottom w:type="dxa" w:w="100"/>
              <w:right w:type="dxa" w:w="120"/>
            </w:tcMar>
            <w:vAlign w:val="center"/>
          </w:tcPr>
          <w:p>
            <w:r>
              <w:rPr>
                <w:sz w:val="20"/>
                <w:szCs w:val="20"/>
              </w:rPr>
              <w:t xml:space="preserve">none</w:t>
            </w:r>
          </w:p>
        </w:tc>
        <w:tc>
          <w:tcPr>
            <w:tcW w:type="pct" w:w="48%"/>
            <w:tcMar>
              <w:top w:type="dxa" w:w="100"/>
              <w:left w:type="dxa" w:w="120"/>
              <w:bottom w:type="dxa" w:w="100"/>
              <w:right w:type="dxa" w:w="120"/>
            </w:tcMar>
            <w:vAlign w:val="center"/>
          </w:tcPr>
          <w:p>
            <w:r>
              <w:rPr>
                <w:sz w:val="20"/>
                <w:szCs w:val="20"/>
              </w:rPr>
              <w:t xml:space="preserve">Server→client only. Event envelope now carries an additive </w:t>
            </w:r>
            <w:r>
              <w:rPr>
                <w:rFonts w:ascii="Consolas" w:cs="Consolas" w:eastAsia="Consolas" w:hAnsi="Consolas"/>
                <w:sz w:val="20"/>
                <w:szCs w:val="20"/>
              </w:rPr>
              <w:t xml:space="preserve">hybrid</w:t>
            </w:r>
            <w:r>
              <w:rPr>
                <w:sz w:val="20"/>
                <w:szCs w:val="20"/>
              </w:rPr>
              <w:t xml:space="preserve"> key (threat_score/band/action/fired_detectors/rationale), </w:t>
            </w:r>
            <w:r>
              <w:rPr>
                <w:rFonts w:ascii="Consolas" w:cs="Consolas" w:eastAsia="Consolas" w:hAnsi="Consolas"/>
                <w:sz w:val="20"/>
                <w:szCs w:val="20"/>
              </w:rPr>
              <w:t xml:space="preserve">null</w:t>
            </w:r>
            <w:r>
              <w:rPr>
                <w:sz w:val="20"/>
                <w:szCs w:val="20"/>
              </w:rPr>
              <w:t xml:space="preserve"> when the layer is disabled — an older frontend build ignoring an unknown key is unaffected</w:t>
            </w:r>
          </w:p>
        </w:tc>
      </w:tr>
    </w:tbl>
    <w:p>
      <w:pPr>
        <w:spacing w:after="140" w:line="276"/>
      </w:pPr>
      <w:r>
        <w:rPr>
          <w:b/>
          <w:bCs/>
          <w:color w:val="15803D"/>
          <w:sz w:val="19"/>
          <w:szCs w:val="19"/>
        </w:rPr>
        <w:t xml:space="preserve">[FACT] </w:t>
      </w:r>
      <w:r>
        <w:rPr>
          <w:b/>
          <w:bCs/>
        </w:rPr>
        <w:t xml:space="preserve">Corrected finding from the first edition:</w:t>
      </w:r>
      <w:r>
        <w:t xml:space="preserve"> rate limiting now exists on the mutating-route set (a per-IP token bucket, 429 past the configured burst threshold), gated behind the same posture as the auth dependency. CORS configuration is unchanged — origin-restricted but with wide methods/headers, still moot in practice given the low value of what's now optionally protected.</w:t>
      </w:r>
    </w:p>
    <w:p>
      <w:pPr>
        <w:pStyle w:val="Heading1"/>
        <w:pBdr>
          <w:bottom w:val="single" w:color="B45309" w:sz="12" w:space="4"/>
        </w:pBdr>
        <w:spacing w:after="200" w:before="480"/>
      </w:pPr>
      <w:r>
        <w:rPr>
          <w:b/>
          <w:bCs/>
          <w:color w:val="B45309"/>
          <w:sz w:val="30"/>
          <w:szCs w:val="30"/>
        </w:rPr>
        <w:t xml:space="preserve">PART 11 — Security Audit</w:t>
      </w:r>
    </w:p>
    <w:p>
      <w:pPr>
        <w:spacing w:after="140" w:line="276"/>
      </w:pPr>
      <w:r>
        <w:t xml:space="preserve">Assume a technical judge is actively trying to break it. Here is exactly what they'd find, and the honest posture for each — substantially improved since the first edition, still not a production posture.</w:t>
      </w:r>
    </w:p>
    <w:tbl>
      <w:tblPr>
        <w:tblW w:type="pct" w:w="100%"/>
        <w:tblBorders>
          <w:top w:val="single" w:color="D8CBB0" w:sz="4"/>
          <w:left w:val="single" w:color="D8CBB0" w:sz="4"/>
          <w:bottom w:val="single" w:color="D8CBB0" w:sz="4"/>
          <w:right w:val="single" w:color="D8CBB0" w:sz="4"/>
          <w:insideH w:val="single" w:color="D8CBB0" w:sz="4"/>
          <w:insideV w:val="single" w:color="D8CBB0" w:sz="4"/>
        </w:tblBorders>
      </w:tblPr>
      <w:tblGrid>
        <w:gridCol w:w="100"/>
        <w:gridCol w:w="100"/>
        <w:gridCol w:w="100"/>
        <w:gridCol w:w="100"/>
      </w:tblGrid>
      <w:tr>
        <w:trPr>
          <w:tblHeader/>
        </w:trPr>
        <w:tc>
          <w:tcPr>
            <w:tcW w:type="pct" w:w="22%"/>
            <w:shd w:fill="1C1917" w:val="clear"/>
            <w:tcMar>
              <w:top w:type="dxa" w:w="100"/>
              <w:left w:type="dxa" w:w="120"/>
              <w:bottom w:type="dxa" w:w="100"/>
              <w:right w:type="dxa" w:w="120"/>
            </w:tcMar>
            <w:vAlign w:val="center"/>
          </w:tcPr>
          <w:p>
            <w:r>
              <w:rPr>
                <w:b/>
                <w:bCs/>
                <w:color w:val="FFFFFF"/>
                <w:sz w:val="19"/>
                <w:szCs w:val="19"/>
              </w:rPr>
              <w:t xml:space="preserve">Attack surface</w:t>
            </w:r>
          </w:p>
        </w:tc>
        <w:tc>
          <w:tcPr>
            <w:tcW w:type="pct" w:w="30%"/>
            <w:shd w:fill="1C1917" w:val="clear"/>
            <w:tcMar>
              <w:top w:type="dxa" w:w="100"/>
              <w:left w:type="dxa" w:w="120"/>
              <w:bottom w:type="dxa" w:w="100"/>
              <w:right w:type="dxa" w:w="120"/>
            </w:tcMar>
            <w:vAlign w:val="center"/>
          </w:tcPr>
          <w:p>
            <w:r>
              <w:rPr>
                <w:b/>
                <w:bCs/>
                <w:color w:val="FFFFFF"/>
                <w:sz w:val="19"/>
                <w:szCs w:val="19"/>
              </w:rPr>
              <w:t xml:space="preserve">How</w:t>
            </w:r>
          </w:p>
        </w:tc>
        <w:tc>
          <w:tcPr>
            <w:tcW w:type="pct" w:w="26%"/>
            <w:shd w:fill="1C1917" w:val="clear"/>
            <w:tcMar>
              <w:top w:type="dxa" w:w="100"/>
              <w:left w:type="dxa" w:w="120"/>
              <w:bottom w:type="dxa" w:w="100"/>
              <w:right w:type="dxa" w:w="120"/>
            </w:tcMar>
            <w:vAlign w:val="center"/>
          </w:tcPr>
          <w:p>
            <w:r>
              <w:rPr>
                <w:b/>
                <w:bCs/>
                <w:color w:val="FFFFFF"/>
                <w:sz w:val="19"/>
                <w:szCs w:val="19"/>
              </w:rPr>
              <w:t xml:space="preserve">Impact</w:t>
            </w:r>
          </w:p>
        </w:tc>
        <w:tc>
          <w:tcPr>
            <w:tcW w:type="pct" w:w="22%"/>
            <w:shd w:fill="1C1917" w:val="clear"/>
            <w:tcMar>
              <w:top w:type="dxa" w:w="100"/>
              <w:left w:type="dxa" w:w="120"/>
              <w:bottom w:type="dxa" w:w="100"/>
              <w:right w:type="dxa" w:w="120"/>
            </w:tcMar>
            <w:vAlign w:val="center"/>
          </w:tcPr>
          <w:p>
            <w:r>
              <w:rPr>
                <w:b/>
                <w:bCs/>
                <w:color w:val="FFFFFF"/>
                <w:sz w:val="19"/>
                <w:szCs w:val="19"/>
              </w:rPr>
              <w:t xml:space="preserve">Prevented?</w:t>
            </w:r>
          </w:p>
        </w:tc>
      </w:tr>
      <w:tr>
        <w:tc>
          <w:tcPr>
            <w:tcW w:type="pct" w:w="22%"/>
            <w:tcMar>
              <w:top w:type="dxa" w:w="100"/>
              <w:left w:type="dxa" w:w="120"/>
              <w:bottom w:type="dxa" w:w="100"/>
              <w:right w:type="dxa" w:w="120"/>
            </w:tcMar>
            <w:vAlign w:val="center"/>
          </w:tcPr>
          <w:p>
            <w:r>
              <w:rPr>
                <w:sz w:val="20"/>
                <w:szCs w:val="20"/>
              </w:rPr>
              <w:t xml:space="preserve">Unauthenticated control of replay/injection</w:t>
            </w:r>
          </w:p>
        </w:tc>
        <w:tc>
          <w:tcPr>
            <w:tcW w:type="pct" w:w="30%"/>
            <w:tcMar>
              <w:top w:type="dxa" w:w="100"/>
              <w:left w:type="dxa" w:w="120"/>
              <w:bottom w:type="dxa" w:w="100"/>
              <w:right w:type="dxa" w:w="120"/>
            </w:tcMar>
            <w:vAlign w:val="center"/>
          </w:tcPr>
          <w:p>
            <w:r>
              <w:rPr>
                <w:sz w:val="20"/>
                <w:szCs w:val="20"/>
              </w:rPr>
              <w:t xml:space="preserve">Any client on the loopback interface (or the network, if opened beyond it)</w:t>
            </w:r>
          </w:p>
        </w:tc>
        <w:tc>
          <w:tcPr>
            <w:tcW w:type="pct" w:w="26%"/>
            <w:tcMar>
              <w:top w:type="dxa" w:w="100"/>
              <w:left w:type="dxa" w:w="120"/>
              <w:bottom w:type="dxa" w:w="100"/>
              <w:right w:type="dxa" w:w="120"/>
            </w:tcMar>
            <w:vAlign w:val="center"/>
          </w:tcPr>
          <w:p>
            <w:r>
              <w:rPr>
                <w:sz w:val="20"/>
                <w:szCs w:val="20"/>
              </w:rPr>
              <w:t xml:space="preserve">Denial of the live demo, or DB bloat from repeated injection</w:t>
            </w:r>
          </w:p>
        </w:tc>
        <w:tc>
          <w:tcPr>
            <w:tcW w:type="pct" w:w="22%"/>
            <w:tcMar>
              <w:top w:type="dxa" w:w="100"/>
              <w:left w:type="dxa" w:w="120"/>
              <w:bottom w:type="dxa" w:w="100"/>
              <w:right w:type="dxa" w:w="120"/>
            </w:tcMar>
            <w:vAlign w:val="center"/>
          </w:tcPr>
          <w:p>
            <w:r>
              <w:rPr>
                <w:b/>
                <w:bCs/>
                <w:sz w:val="20"/>
                <w:szCs w:val="20"/>
              </w:rPr>
              <w:t xml:space="preserve">Partially — new this pass.</w:t>
            </w:r>
            <w:r>
              <w:rPr>
                <w:sz w:val="20"/>
                <w:szCs w:val="20"/>
              </w:rPr>
              <w:t xml:space="preserve"> An optional bearer token now gates every mutating route. Still off by default; the loopback-only default remains the primary mitigation for an un-configured deployment.</w:t>
            </w:r>
          </w:p>
        </w:tc>
      </w:tr>
      <w:tr>
        <w:tc>
          <w:tcPr>
            <w:tcW w:type="pct" w:w="22%"/>
            <w:shd w:fill="F5F0E8" w:val="clear"/>
            <w:tcMar>
              <w:top w:type="dxa" w:w="100"/>
              <w:left w:type="dxa" w:w="120"/>
              <w:bottom w:type="dxa" w:w="100"/>
              <w:right w:type="dxa" w:w="120"/>
            </w:tcMar>
            <w:vAlign w:val="center"/>
          </w:tcPr>
          <w:p>
            <w:r>
              <w:rPr>
                <w:sz w:val="20"/>
                <w:szCs w:val="20"/>
              </w:rPr>
              <w:t xml:space="preserve">No rate limiting</w:t>
            </w:r>
          </w:p>
        </w:tc>
        <w:tc>
          <w:tcPr>
            <w:tcW w:type="pct" w:w="30%"/>
            <w:shd w:fill="F5F0E8" w:val="clear"/>
            <w:tcMar>
              <w:top w:type="dxa" w:w="100"/>
              <w:left w:type="dxa" w:w="120"/>
              <w:bottom w:type="dxa" w:w="100"/>
              <w:right w:type="dxa" w:w="120"/>
            </w:tcMar>
            <w:vAlign w:val="center"/>
          </w:tcPr>
          <w:p>
            <w:r>
              <w:rPr>
                <w:sz w:val="20"/>
                <w:szCs w:val="20"/>
              </w:rPr>
              <w:t xml:space="preserve">Rapid repeated calls to a mutating route</w:t>
            </w:r>
          </w:p>
        </w:tc>
        <w:tc>
          <w:tcPr>
            <w:tcW w:type="pct" w:w="26%"/>
            <w:shd w:fill="F5F0E8" w:val="clear"/>
            <w:tcMar>
              <w:top w:type="dxa" w:w="100"/>
              <w:left w:type="dxa" w:w="120"/>
              <w:bottom w:type="dxa" w:w="100"/>
              <w:right w:type="dxa" w:w="120"/>
            </w:tcMar>
            <w:vAlign w:val="center"/>
          </w:tcPr>
          <w:p>
            <w:r>
              <w:rPr>
                <w:sz w:val="20"/>
                <w:szCs w:val="20"/>
              </w:rPr>
              <w:t xml:space="preserve">Resource exhaustion, log/DB noise</w:t>
            </w:r>
          </w:p>
        </w:tc>
        <w:tc>
          <w:tcPr>
            <w:tcW w:type="pct" w:w="22%"/>
            <w:shd w:fill="F5F0E8" w:val="clear"/>
            <w:tcMar>
              <w:top w:type="dxa" w:w="100"/>
              <w:left w:type="dxa" w:w="120"/>
              <w:bottom w:type="dxa" w:w="100"/>
              <w:right w:type="dxa" w:w="120"/>
            </w:tcMar>
            <w:vAlign w:val="center"/>
          </w:tcPr>
          <w:p>
            <w:r>
              <w:rPr>
                <w:b/>
                <w:bCs/>
                <w:sz w:val="20"/>
                <w:szCs w:val="20"/>
              </w:rPr>
              <w:t xml:space="preserve">Fixed this pass.</w:t>
            </w:r>
            <w:r>
              <w:rPr>
                <w:sz w:val="20"/>
                <w:szCs w:val="20"/>
              </w:rPr>
              <w:t xml:space="preserve"> A per-IP token bucket now 429s past a configured burst — gated behind the same on/off posture as the auth check, but a real, tested mechanism now exists where none did</w:t>
            </w:r>
          </w:p>
        </w:tc>
      </w:tr>
      <w:tr>
        <w:tc>
          <w:tcPr>
            <w:tcW w:type="pct" w:w="22%"/>
            <w:tcMar>
              <w:top w:type="dxa" w:w="100"/>
              <w:left w:type="dxa" w:w="120"/>
              <w:bottom w:type="dxa" w:w="100"/>
              <w:right w:type="dxa" w:w="120"/>
            </w:tcMar>
            <w:vAlign w:val="center"/>
          </w:tcPr>
          <w:p>
            <w:r>
              <w:rPr>
                <w:sz w:val="20"/>
                <w:szCs w:val="20"/>
              </w:rPr>
              <w:t xml:space="preserve">Plaintext default DB credential</w:t>
            </w:r>
          </w:p>
        </w:tc>
        <w:tc>
          <w:tcPr>
            <w:tcW w:type="pct" w:w="30%"/>
            <w:tcMar>
              <w:top w:type="dxa" w:w="100"/>
              <w:left w:type="dxa" w:w="120"/>
              <w:bottom w:type="dxa" w:w="100"/>
              <w:right w:type="dxa" w:w="120"/>
            </w:tcMar>
            <w:vAlign w:val="center"/>
          </w:tcPr>
          <w:p>
            <w:r>
              <w:rPr>
                <w:sz w:val="20"/>
                <w:szCs w:val="20"/>
              </w:rPr>
              <w:t xml:space="preserve">AEGIS_DB_PASSWORD=aegis committed in .env.example</w:t>
            </w:r>
          </w:p>
        </w:tc>
        <w:tc>
          <w:tcPr>
            <w:tcW w:type="pct" w:w="26%"/>
            <w:tcMar>
              <w:top w:type="dxa" w:w="100"/>
              <w:left w:type="dxa" w:w="120"/>
              <w:bottom w:type="dxa" w:w="100"/>
              <w:right w:type="dxa" w:w="120"/>
            </w:tcMar>
            <w:vAlign w:val="center"/>
          </w:tcPr>
          <w:p>
            <w:r>
              <w:rPr>
                <w:sz w:val="20"/>
                <w:szCs w:val="20"/>
              </w:rPr>
              <w:t xml:space="preserve">Trivial if ever deployed with the example value unchanged</w:t>
            </w:r>
          </w:p>
        </w:tc>
        <w:tc>
          <w:tcPr>
            <w:tcW w:type="pct" w:w="22%"/>
            <w:tcMar>
              <w:top w:type="dxa" w:w="100"/>
              <w:left w:type="dxa" w:w="120"/>
              <w:bottom w:type="dxa" w:w="100"/>
              <w:right w:type="dxa" w:w="120"/>
            </w:tcMar>
            <w:vAlign w:val="center"/>
          </w:tcPr>
          <w:p>
            <w:r>
              <w:rPr>
                <w:sz w:val="20"/>
                <w:szCs w:val="20"/>
              </w:rPr>
              <w:t xml:space="preserve">Documented as example only — unchanged, still no enforcement of a non-default password</w:t>
            </w:r>
          </w:p>
        </w:tc>
      </w:tr>
      <w:tr>
        <w:tc>
          <w:tcPr>
            <w:tcW w:type="pct" w:w="22%"/>
            <w:shd w:fill="F5F0E8" w:val="clear"/>
            <w:tcMar>
              <w:top w:type="dxa" w:w="100"/>
              <w:left w:type="dxa" w:w="120"/>
              <w:bottom w:type="dxa" w:w="100"/>
              <w:right w:type="dxa" w:w="120"/>
            </w:tcMar>
            <w:vAlign w:val="center"/>
          </w:tcPr>
          <w:p>
            <w:r>
              <w:rPr>
                <w:sz w:val="20"/>
                <w:szCs w:val="20"/>
              </w:rPr>
              <w:t xml:space="preserve">Bearer token visible client-side</w:t>
            </w:r>
          </w:p>
        </w:tc>
        <w:tc>
          <w:tcPr>
            <w:tcW w:type="pct" w:w="30%"/>
            <w:shd w:fill="F5F0E8" w:val="clear"/>
            <w:tcMar>
              <w:top w:type="dxa" w:w="100"/>
              <w:left w:type="dxa" w:w="120"/>
              <w:bottom w:type="dxa" w:w="100"/>
              <w:right w:type="dxa" w:w="120"/>
            </w:tcMar>
            <w:vAlign w:val="center"/>
          </w:tcPr>
          <w:p>
            <w:r>
              <w:rPr>
                <w:sz w:val="20"/>
                <w:szCs w:val="20"/>
              </w:rPr>
              <w:t xml:space="preserve">A token shipped via NEXT_PUBLIC_API_TOKEN is readable in the page's own JS bundle by anyone with devtools open</w:t>
            </w:r>
          </w:p>
        </w:tc>
        <w:tc>
          <w:tcPr>
            <w:tcW w:type="pct" w:w="26%"/>
            <w:shd w:fill="F5F0E8" w:val="clear"/>
            <w:tcMar>
              <w:top w:type="dxa" w:w="100"/>
              <w:left w:type="dxa" w:w="120"/>
              <w:bottom w:type="dxa" w:w="100"/>
              <w:right w:type="dxa" w:w="120"/>
            </w:tcMar>
            <w:vAlign w:val="center"/>
          </w:tcPr>
          <w:p>
            <w:r>
              <w:rPr>
                <w:sz w:val="20"/>
                <w:szCs w:val="20"/>
              </w:rPr>
              <w:t xml:space="preserve">Not resistant to a targeted attacker already on the page</w:t>
            </w:r>
          </w:p>
        </w:tc>
        <w:tc>
          <w:tcPr>
            <w:tcW w:type="pct" w:w="22%"/>
            <w:shd w:fill="F5F0E8" w:val="clear"/>
            <w:tcMar>
              <w:top w:type="dxa" w:w="100"/>
              <w:left w:type="dxa" w:w="120"/>
              <w:bottom w:type="dxa" w:w="100"/>
              <w:right w:type="dxa" w:w="120"/>
            </w:tcMar>
            <w:vAlign w:val="center"/>
          </w:tcPr>
          <w:p>
            <w:r>
              <w:rPr>
                <w:sz w:val="20"/>
                <w:szCs w:val="20"/>
              </w:rPr>
              <w:t xml:space="preserve">By design, documented honestly in the setting's own docstring — it stops an unrelated page, a scanner, or a LAN neighbour from finding an open control surface; it is explicitly NOT a defense against someone already inspecting the page</w:t>
            </w:r>
          </w:p>
        </w:tc>
      </w:tr>
      <w:tr>
        <w:tc>
          <w:tcPr>
            <w:tcW w:type="pct" w:w="22%"/>
            <w:tcMar>
              <w:top w:type="dxa" w:w="100"/>
              <w:left w:type="dxa" w:w="120"/>
              <w:bottom w:type="dxa" w:w="100"/>
              <w:right w:type="dxa" w:w="120"/>
            </w:tcMar>
            <w:vAlign w:val="center"/>
          </w:tcPr>
          <w:p>
            <w:r>
              <w:rPr>
                <w:sz w:val="20"/>
                <w:szCs w:val="20"/>
              </w:rPr>
              <w:t xml:space="preserve">SQL injection</w:t>
            </w:r>
          </w:p>
        </w:tc>
        <w:tc>
          <w:tcPr>
            <w:tcW w:type="pct" w:w="30%"/>
            <w:tcMar>
              <w:top w:type="dxa" w:w="100"/>
              <w:left w:type="dxa" w:w="120"/>
              <w:bottom w:type="dxa" w:w="100"/>
              <w:right w:type="dxa" w:w="120"/>
            </w:tcMar>
            <w:vAlign w:val="center"/>
          </w:tcPr>
          <w:p>
            <w:r>
              <w:rPr>
                <w:sz w:val="20"/>
                <w:szCs w:val="20"/>
              </w:rPr>
              <w:t xml:space="preserve">All queries go through SQLAlchemy's ORM/parameterized queries</w:t>
            </w:r>
          </w:p>
        </w:tc>
        <w:tc>
          <w:tcPr>
            <w:tcW w:type="pct" w:w="26%"/>
            <w:tcMar>
              <w:top w:type="dxa" w:w="100"/>
              <w:left w:type="dxa" w:w="120"/>
              <w:bottom w:type="dxa" w:w="100"/>
              <w:right w:type="dxa" w:w="120"/>
            </w:tcMar>
            <w:vAlign w:val="center"/>
          </w:tcPr>
          <w:p>
            <w:r>
              <w:rPr>
                <w:sz w:val="20"/>
                <w:szCs w:val="20"/>
              </w:rPr>
              <w:t xml:space="preserve">N/A</w:t>
            </w:r>
          </w:p>
        </w:tc>
        <w:tc>
          <w:tcPr>
            <w:tcW w:type="pct" w:w="22%"/>
            <w:tcMar>
              <w:top w:type="dxa" w:w="100"/>
              <w:left w:type="dxa" w:w="120"/>
              <w:bottom w:type="dxa" w:w="100"/>
              <w:right w:type="dxa" w:w="120"/>
            </w:tcMar>
            <w:vAlign w:val="center"/>
          </w:tcPr>
          <w:p>
            <w:r>
              <w:rPr>
                <w:sz w:val="20"/>
                <w:szCs w:val="20"/>
              </w:rPr>
              <w:t xml:space="preserve">Yes — unchanged, no raw string-interpolated SQL found</w:t>
            </w:r>
          </w:p>
        </w:tc>
      </w:tr>
      <w:tr>
        <w:tc>
          <w:tcPr>
            <w:tcW w:type="pct" w:w="22%"/>
            <w:shd w:fill="F5F0E8" w:val="clear"/>
            <w:tcMar>
              <w:top w:type="dxa" w:w="100"/>
              <w:left w:type="dxa" w:w="120"/>
              <w:bottom w:type="dxa" w:w="100"/>
              <w:right w:type="dxa" w:w="120"/>
            </w:tcMar>
            <w:vAlign w:val="center"/>
          </w:tcPr>
          <w:p>
            <w:r>
              <w:rPr>
                <w:sz w:val="20"/>
                <w:szCs w:val="20"/>
              </w:rPr>
              <w:t xml:space="preserve">Broken access control on alert ack</w:t>
            </w:r>
          </w:p>
        </w:tc>
        <w:tc>
          <w:tcPr>
            <w:tcW w:type="pct" w:w="30%"/>
            <w:shd w:fill="F5F0E8" w:val="clear"/>
            <w:tcMar>
              <w:top w:type="dxa" w:w="100"/>
              <w:left w:type="dxa" w:w="120"/>
              <w:bottom w:type="dxa" w:w="100"/>
              <w:right w:type="dxa" w:w="120"/>
            </w:tcMar>
            <w:vAlign w:val="center"/>
          </w:tcPr>
          <w:p>
            <w:r>
              <w:rPr>
                <w:sz w:val="20"/>
                <w:szCs w:val="20"/>
              </w:rPr>
              <w:t xml:space="preserve">Anyone with a valid token (or none, if unconfigured) can acknowledge any alert</w:t>
            </w:r>
          </w:p>
        </w:tc>
        <w:tc>
          <w:tcPr>
            <w:tcW w:type="pct" w:w="26%"/>
            <w:shd w:fill="F5F0E8" w:val="clear"/>
            <w:tcMar>
              <w:top w:type="dxa" w:w="100"/>
              <w:left w:type="dxa" w:w="120"/>
              <w:bottom w:type="dxa" w:w="100"/>
              <w:right w:type="dxa" w:w="120"/>
            </w:tcMar>
            <w:vAlign w:val="center"/>
          </w:tcPr>
          <w:p>
            <w:r>
              <w:rPr>
                <w:sz w:val="20"/>
                <w:szCs w:val="20"/>
              </w:rPr>
              <w:t xml:space="preserve">An attacker could silence real alerts</w:t>
            </w:r>
          </w:p>
        </w:tc>
        <w:tc>
          <w:tcPr>
            <w:tcW w:type="pct" w:w="22%"/>
            <w:shd w:fill="F5F0E8" w:val="clear"/>
            <w:tcMar>
              <w:top w:type="dxa" w:w="100"/>
              <w:left w:type="dxa" w:w="120"/>
              <w:bottom w:type="dxa" w:w="100"/>
              <w:right w:type="dxa" w:w="120"/>
            </w:tcMar>
            <w:vAlign w:val="center"/>
          </w:tcPr>
          <w:p>
            <w:r>
              <w:rPr>
                <w:b/>
                <w:bCs/>
                <w:sz w:val="20"/>
                <w:szCs w:val="20"/>
              </w:rPr>
              <w:t xml:space="preserve">Still no</w:t>
            </w:r>
            <w:r>
              <w:rPr>
                <w:sz w:val="20"/>
                <w:szCs w:val="20"/>
              </w:rPr>
              <w:t xml:space="preserve"> — there is no operator-identity concept in the schema; the new auth layer gates "has a token" not "is this operator allowed to touch this alert"</w:t>
            </w:r>
          </w:p>
        </w:tc>
      </w:tr>
    </w:tbl>
    <w:p>
      <w:pPr>
        <w:spacing w:after="60" w:before="160"/>
      </w:pPr>
      <w:r>
        <w:rPr>
          <w:b/>
          <w:bCs/>
          <w:color w:val="B45309"/>
        </w:rPr>
        <w:t xml:space="preserve">Q: </w:t>
      </w:r>
      <w:r>
        <w:rPr>
          <w:i/>
          <w:iCs/>
        </w:rPr>
        <w:t xml:space="preserve">If I had network access to your backend right now, what could I do?</w:t>
      </w:r>
    </w:p>
    <w:p>
      <w:pPr>
        <w:spacing w:after="40"/>
      </w:pPr>
      <w:r>
        <w:rPr>
          <w:b/>
          <w:bCs/>
          <w:color w:val="15803D"/>
          <w:sz w:val="18"/>
          <w:szCs w:val="18"/>
        </w:rPr>
        <w:t xml:space="preserve">IDEAL ANSWER  </w:t>
      </w:r>
      <w:r>
        <w:t xml:space="preserve">If the operator hasn't configured a token: the same as the first edition — stop the live replay, inject arbitrary real attack flows, acknowledge every alert, read every event/alert. If a token IS configured: you'd also need that token for any of the mutating actions, and you'd be rate-limited even with it. This is a genuinely improved posture from the first edition, still explicitly not production-grade — there's no per-operator identity, no token rotation, and no protection against a token leaked via the client bundle itself.</w:t>
      </w:r>
    </w:p>
    <w:p>
      <w:pPr>
        <w:pStyle w:val="Heading1"/>
        <w:pBdr>
          <w:bottom w:val="single" w:color="B45309" w:sz="12" w:space="4"/>
        </w:pBdr>
        <w:spacing w:after="200" w:before="480"/>
      </w:pPr>
      <w:r>
        <w:rPr>
          <w:b/>
          <w:bCs/>
          <w:color w:val="B45309"/>
          <w:sz w:val="30"/>
          <w:szCs w:val="30"/>
        </w:rPr>
        <w:t xml:space="preserve">PART 12 — Performance &amp; Scalability</w:t>
      </w:r>
    </w:p>
    <w:p>
      <w:pPr>
        <w:spacing w:after="140" w:line="276"/>
      </w:pPr>
      <w:r>
        <w:rPr>
          <w:b/>
          <w:bCs/>
          <w:color w:val="15803D"/>
          <w:sz w:val="19"/>
          <w:szCs w:val="19"/>
        </w:rPr>
        <w:t xml:space="preserve">[FACT] </w:t>
      </w:r>
      <w:r>
        <w:t xml:space="preserve">compute_cascading_impact_full() runs in roughly 4.5–11.3ms per call at 1,000 Monte Carlo iterations against the current 45-node/63-edge graph — unchanged this pass, the shares_provider fix adds one dict lookup per shared-provider edge, immaterial at this graph size. StreamingScorer.score_batch() runs in ~6.3ms per 500-flow batch — unchanged. </w:t>
      </w:r>
      <w:r>
        <w:rPr>
          <w:b/>
          <w:bCs/>
        </w:rPr>
        <w:t xml:space="preserve">New this pass:</w:t>
      </w:r>
      <w:r>
        <w:t xml:space="preserve"> the signature engine and beaconing detector both run O(batch × small constant) per call — neither builds a DataFrame nor fits anything; not separately benchmarked in isolation, but the full pipeline was verified live at 100x replay speed with no observed backpressure or lag growth.</w:t>
      </w:r>
    </w:p>
    <w:p>
      <w:pPr>
        <w:spacing w:after="140" w:line="276"/>
      </w:pPr>
      <w:r>
        <w:rPr>
          <w:b/>
          <w:bCs/>
          <w:color w:val="6B7280"/>
          <w:sz w:val="19"/>
          <w:szCs w:val="19"/>
        </w:rPr>
        <w:t xml:space="preserve">[ASSUMPTION] </w:t>
      </w:r>
      <w:r>
        <w:t xml:space="preserve">Theoretical, not measured: anything about concurrent users, 10x/100x data volume, or multi-tenant load — unchanged, still explicitly out of scope.</w:t>
      </w:r>
    </w:p>
    <w:tbl>
      <w:tblPr>
        <w:tblW w:type="pct" w:w="100%"/>
        <w:tblBorders>
          <w:top w:val="single" w:color="D8CBB0" w:sz="4"/>
          <w:left w:val="single" w:color="D8CBB0" w:sz="4"/>
          <w:bottom w:val="single" w:color="D8CBB0" w:sz="4"/>
          <w:right w:val="single" w:color="D8CBB0" w:sz="4"/>
          <w:insideH w:val="single" w:color="D8CBB0" w:sz="4"/>
          <w:insideV w:val="single" w:color="D8CBB0" w:sz="4"/>
        </w:tblBorders>
      </w:tblPr>
      <w:tblGrid>
        <w:gridCol w:w="100"/>
        <w:gridCol w:w="100"/>
      </w:tblGrid>
      <w:tr>
        <w:trPr>
          <w:tblHeader/>
        </w:trPr>
        <w:tc>
          <w:tcPr>
            <w:tcW w:type="pct" w:w="30%"/>
            <w:shd w:fill="1C1917" w:val="clear"/>
            <w:tcMar>
              <w:top w:type="dxa" w:w="100"/>
              <w:left w:type="dxa" w:w="120"/>
              <w:bottom w:type="dxa" w:w="100"/>
              <w:right w:type="dxa" w:w="120"/>
            </w:tcMar>
            <w:vAlign w:val="center"/>
          </w:tcPr>
          <w:p>
            <w:r>
              <w:rPr>
                <w:b/>
                <w:bCs/>
                <w:color w:val="FFFFFF"/>
                <w:sz w:val="19"/>
                <w:szCs w:val="19"/>
              </w:rPr>
              <w:t xml:space="preserve">Scenario</w:t>
            </w:r>
          </w:p>
        </w:tc>
        <w:tc>
          <w:tcPr>
            <w:tcW w:type="pct" w:w="70%"/>
            <w:shd w:fill="1C1917" w:val="clear"/>
            <w:tcMar>
              <w:top w:type="dxa" w:w="100"/>
              <w:left w:type="dxa" w:w="120"/>
              <w:bottom w:type="dxa" w:w="100"/>
              <w:right w:type="dxa" w:w="120"/>
            </w:tcMar>
            <w:vAlign w:val="center"/>
          </w:tcPr>
          <w:p>
            <w:r>
              <w:rPr>
                <w:b/>
                <w:bCs/>
                <w:color w:val="FFFFFF"/>
                <w:sz w:val="19"/>
                <w:szCs w:val="19"/>
              </w:rPr>
              <w:t xml:space="preserve">What actually happens</w:t>
            </w:r>
          </w:p>
        </w:tc>
      </w:tr>
      <w:tr>
        <w:tc>
          <w:tcPr>
            <w:tcW w:type="pct" w:w="30%"/>
            <w:tcMar>
              <w:top w:type="dxa" w:w="100"/>
              <w:left w:type="dxa" w:w="120"/>
              <w:bottom w:type="dxa" w:w="100"/>
              <w:right w:type="dxa" w:w="120"/>
            </w:tcMar>
            <w:vAlign w:val="center"/>
          </w:tcPr>
          <w:p>
            <w:r>
              <w:rPr>
                <w:sz w:val="20"/>
                <w:szCs w:val="20"/>
              </w:rPr>
              <w:t xml:space="preserve">10 concurrent operators</w:t>
            </w:r>
          </w:p>
        </w:tc>
        <w:tc>
          <w:tcPr>
            <w:tcW w:type="pct" w:w="70%"/>
            <w:tcMar>
              <w:top w:type="dxa" w:w="100"/>
              <w:left w:type="dxa" w:w="120"/>
              <w:bottom w:type="dxa" w:w="100"/>
              <w:right w:type="dxa" w:w="120"/>
            </w:tcMar>
            <w:vAlign w:val="center"/>
          </w:tcPr>
          <w:p>
            <w:r>
              <w:rPr>
                <w:sz w:val="20"/>
                <w:szCs w:val="20"/>
              </w:rPr>
              <w:t xml:space="preserve">Fine — unchanged</w:t>
            </w:r>
          </w:p>
        </w:tc>
      </w:tr>
      <w:tr>
        <w:tc>
          <w:tcPr>
            <w:tcW w:type="pct" w:w="30%"/>
            <w:shd w:fill="F5F0E8" w:val="clear"/>
            <w:tcMar>
              <w:top w:type="dxa" w:w="100"/>
              <w:left w:type="dxa" w:w="120"/>
              <w:bottom w:type="dxa" w:w="100"/>
              <w:right w:type="dxa" w:w="120"/>
            </w:tcMar>
            <w:vAlign w:val="center"/>
          </w:tcPr>
          <w:p>
            <w:r>
              <w:rPr>
                <w:sz w:val="20"/>
                <w:szCs w:val="20"/>
              </w:rPr>
              <w:t xml:space="preserve">1,000 concurrent operators</w:t>
            </w:r>
          </w:p>
        </w:tc>
        <w:tc>
          <w:tcPr>
            <w:tcW w:type="pct" w:w="70%"/>
            <w:shd w:fill="F5F0E8" w:val="clear"/>
            <w:tcMar>
              <w:top w:type="dxa" w:w="100"/>
              <w:left w:type="dxa" w:w="120"/>
              <w:bottom w:type="dxa" w:w="100"/>
              <w:right w:type="dxa" w:w="120"/>
            </w:tcMar>
            <w:vAlign w:val="center"/>
          </w:tcPr>
          <w:p>
            <w:r>
              <w:rPr>
                <w:sz w:val="20"/>
                <w:szCs w:val="20"/>
              </w:rPr>
              <w:t xml:space="preserve">Untested — unchanged</w:t>
            </w:r>
          </w:p>
        </w:tc>
      </w:tr>
      <w:tr>
        <w:tc>
          <w:tcPr>
            <w:tcW w:type="pct" w:w="30%"/>
            <w:tcMar>
              <w:top w:type="dxa" w:w="100"/>
              <w:left w:type="dxa" w:w="120"/>
              <w:bottom w:type="dxa" w:w="100"/>
              <w:right w:type="dxa" w:w="120"/>
            </w:tcMar>
            <w:vAlign w:val="center"/>
          </w:tcPr>
          <w:p>
            <w:r>
              <w:rPr>
                <w:sz w:val="20"/>
                <w:szCs w:val="20"/>
              </w:rPr>
              <w:t xml:space="preserve">100,000 concurrent operators</w:t>
            </w:r>
          </w:p>
        </w:tc>
        <w:tc>
          <w:tcPr>
            <w:tcW w:type="pct" w:w="70%"/>
            <w:tcMar>
              <w:top w:type="dxa" w:w="100"/>
              <w:left w:type="dxa" w:w="120"/>
              <w:bottom w:type="dxa" w:w="100"/>
              <w:right w:type="dxa" w:w="120"/>
            </w:tcMar>
            <w:vAlign w:val="center"/>
          </w:tcPr>
          <w:p>
            <w:r>
              <w:rPr>
                <w:sz w:val="20"/>
                <w:szCs w:val="20"/>
              </w:rPr>
              <w:t xml:space="preserve">Would require horizontal scaling — unchanged, none of this exists today</w:t>
            </w:r>
          </w:p>
        </w:tc>
      </w:tr>
      <w:tr>
        <w:tc>
          <w:tcPr>
            <w:tcW w:type="pct" w:w="30%"/>
            <w:shd w:fill="F5F0E8" w:val="clear"/>
            <w:tcMar>
              <w:top w:type="dxa" w:w="100"/>
              <w:left w:type="dxa" w:w="120"/>
              <w:bottom w:type="dxa" w:w="100"/>
              <w:right w:type="dxa" w:w="120"/>
            </w:tcMar>
            <w:vAlign w:val="center"/>
          </w:tcPr>
          <w:p>
            <w:r>
              <w:rPr>
                <w:sz w:val="20"/>
                <w:szCs w:val="20"/>
              </w:rPr>
              <w:t xml:space="preserve">Input volume ×10 (multiple cities)</w:t>
            </w:r>
          </w:p>
        </w:tc>
        <w:tc>
          <w:tcPr>
            <w:tcW w:type="pct" w:w="70%"/>
            <w:shd w:fill="F5F0E8" w:val="clear"/>
            <w:tcMar>
              <w:top w:type="dxa" w:w="100"/>
              <w:left w:type="dxa" w:w="120"/>
              <w:bottom w:type="dxa" w:w="100"/>
              <w:right w:type="dxa" w:w="120"/>
            </w:tcMar>
            <w:vAlign w:val="center"/>
          </w:tcPr>
          <w:p>
            <w:r>
              <w:rPr>
                <w:sz w:val="20"/>
                <w:szCs w:val="20"/>
              </w:rPr>
              <w:t xml:space="preserve">Explicitly cut as out of scope — unchanged</w:t>
            </w:r>
          </w:p>
        </w:tc>
      </w:tr>
      <w:tr>
        <w:tc>
          <w:tcPr>
            <w:tcW w:type="pct" w:w="30%"/>
            <w:tcMar>
              <w:top w:type="dxa" w:w="100"/>
              <w:left w:type="dxa" w:w="120"/>
              <w:bottom w:type="dxa" w:w="100"/>
              <w:right w:type="dxa" w:w="120"/>
            </w:tcMar>
            <w:vAlign w:val="center"/>
          </w:tcPr>
          <w:p>
            <w:r>
              <w:rPr>
                <w:sz w:val="20"/>
                <w:szCs w:val="20"/>
              </w:rPr>
              <w:t xml:space="preserve">Graph size ×10 (450 assets)</w:t>
            </w:r>
          </w:p>
        </w:tc>
        <w:tc>
          <w:tcPr>
            <w:tcW w:type="pct" w:w="70%"/>
            <w:tcMar>
              <w:top w:type="dxa" w:w="100"/>
              <w:left w:type="dxa" w:w="120"/>
              <w:bottom w:type="dxa" w:w="100"/>
              <w:right w:type="dxa" w:w="120"/>
            </w:tcMar>
            <w:vAlign w:val="center"/>
          </w:tcPr>
          <w:p>
            <w:r>
              <w:rPr>
                <w:sz w:val="20"/>
                <w:szCs w:val="20"/>
              </w:rPr>
              <w:t xml:space="preserve">NetworkX BFS would slow linearly with edge count — unchanged; the shares_provider fix doesn't change this asymptotic story</w:t>
            </w:r>
          </w:p>
        </w:tc>
      </w:tr>
    </w:tbl>
    <w:p>
      <w:pPr>
        <w:pStyle w:val="Heading1"/>
        <w:pBdr>
          <w:bottom w:val="single" w:color="B45309" w:sz="12" w:space="4"/>
        </w:pBdr>
        <w:spacing w:after="200" w:before="480"/>
      </w:pPr>
      <w:r>
        <w:rPr>
          <w:b/>
          <w:bCs/>
          <w:color w:val="B45309"/>
          <w:sz w:val="30"/>
          <w:szCs w:val="30"/>
        </w:rPr>
        <w:t xml:space="preserve">PART 13 — Reliability &amp; Failure Analysis</w:t>
      </w:r>
    </w:p>
    <w:tbl>
      <w:tblPr>
        <w:tblW w:type="pct" w:w="100%"/>
        <w:tblBorders>
          <w:top w:val="single" w:color="D8CBB0" w:sz="4"/>
          <w:left w:val="single" w:color="D8CBB0" w:sz="4"/>
          <w:bottom w:val="single" w:color="D8CBB0" w:sz="4"/>
          <w:right w:val="single" w:color="D8CBB0" w:sz="4"/>
          <w:insideH w:val="single" w:color="D8CBB0" w:sz="4"/>
          <w:insideV w:val="single" w:color="D8CBB0" w:sz="4"/>
        </w:tblBorders>
      </w:tblPr>
      <w:tblGrid>
        <w:gridCol w:w="100"/>
        <w:gridCol w:w="100"/>
        <w:gridCol w:w="100"/>
        <w:gridCol w:w="100"/>
      </w:tblGrid>
      <w:tr>
        <w:trPr>
          <w:tblHeader/>
        </w:trPr>
        <w:tc>
          <w:tcPr>
            <w:tcW w:type="pct" w:w="22%"/>
            <w:shd w:fill="1C1917" w:val="clear"/>
            <w:tcMar>
              <w:top w:type="dxa" w:w="100"/>
              <w:left w:type="dxa" w:w="120"/>
              <w:bottom w:type="dxa" w:w="100"/>
              <w:right w:type="dxa" w:w="120"/>
            </w:tcMar>
            <w:vAlign w:val="center"/>
          </w:tcPr>
          <w:p>
            <w:r>
              <w:rPr>
                <w:b/>
                <w:bCs/>
                <w:color w:val="FFFFFF"/>
                <w:sz w:val="19"/>
                <w:szCs w:val="19"/>
              </w:rPr>
              <w:t xml:space="preserve">Subsystem</w:t>
            </w:r>
          </w:p>
        </w:tc>
        <w:tc>
          <w:tcPr>
            <w:tcW w:type="pct" w:w="30%"/>
            <w:shd w:fill="1C1917" w:val="clear"/>
            <w:tcMar>
              <w:top w:type="dxa" w:w="100"/>
              <w:left w:type="dxa" w:w="120"/>
              <w:bottom w:type="dxa" w:w="100"/>
              <w:right w:type="dxa" w:w="120"/>
            </w:tcMar>
            <w:vAlign w:val="center"/>
          </w:tcPr>
          <w:p>
            <w:r>
              <w:rPr>
                <w:b/>
                <w:bCs/>
                <w:color w:val="FFFFFF"/>
                <w:sz w:val="19"/>
                <w:szCs w:val="19"/>
              </w:rPr>
              <w:t xml:space="preserve">Can fail how</w:t>
            </w:r>
          </w:p>
        </w:tc>
        <w:tc>
          <w:tcPr>
            <w:tcW w:type="pct" w:w="26%"/>
            <w:shd w:fill="1C1917" w:val="clear"/>
            <w:tcMar>
              <w:top w:type="dxa" w:w="100"/>
              <w:left w:type="dxa" w:w="120"/>
              <w:bottom w:type="dxa" w:w="100"/>
              <w:right w:type="dxa" w:w="120"/>
            </w:tcMar>
            <w:vAlign w:val="center"/>
          </w:tcPr>
          <w:p>
            <w:r>
              <w:rPr>
                <w:b/>
                <w:bCs/>
                <w:color w:val="FFFFFF"/>
                <w:sz w:val="19"/>
                <w:szCs w:val="19"/>
              </w:rPr>
              <w:t xml:space="preserve">User sees</w:t>
            </w:r>
          </w:p>
        </w:tc>
        <w:tc>
          <w:tcPr>
            <w:tcW w:type="pct" w:w="22%"/>
            <w:shd w:fill="1C1917" w:val="clear"/>
            <w:tcMar>
              <w:top w:type="dxa" w:w="100"/>
              <w:left w:type="dxa" w:w="120"/>
              <w:bottom w:type="dxa" w:w="100"/>
              <w:right w:type="dxa" w:w="120"/>
            </w:tcMar>
            <w:vAlign w:val="center"/>
          </w:tcPr>
          <w:p>
            <w:r>
              <w:rPr>
                <w:b/>
                <w:bCs/>
                <w:color w:val="FFFFFF"/>
                <w:sz w:val="19"/>
                <w:szCs w:val="19"/>
              </w:rPr>
              <w:t xml:space="preserve">Recoverable?</w:t>
            </w:r>
          </w:p>
        </w:tc>
      </w:tr>
      <w:tr>
        <w:tc>
          <w:tcPr>
            <w:tcW w:type="pct" w:w="22%"/>
            <w:tcMar>
              <w:top w:type="dxa" w:w="100"/>
              <w:left w:type="dxa" w:w="120"/>
              <w:bottom w:type="dxa" w:w="100"/>
              <w:right w:type="dxa" w:w="120"/>
            </w:tcMar>
            <w:vAlign w:val="center"/>
          </w:tcPr>
          <w:p>
            <w:r>
              <w:rPr>
                <w:sz w:val="20"/>
                <w:szCs w:val="20"/>
              </w:rPr>
              <w:t xml:space="preserve">Model artifact load at boot</w:t>
            </w:r>
          </w:p>
        </w:tc>
        <w:tc>
          <w:tcPr>
            <w:tcW w:type="pct" w:w="30%"/>
            <w:tcMar>
              <w:top w:type="dxa" w:w="100"/>
              <w:left w:type="dxa" w:w="120"/>
              <w:bottom w:type="dxa" w:w="100"/>
              <w:right w:type="dxa" w:w="120"/>
            </w:tcMar>
            <w:vAlign w:val="center"/>
          </w:tcPr>
          <w:p>
            <w:r>
              <w:rPr>
                <w:sz w:val="20"/>
                <w:szCs w:val="20"/>
              </w:rPr>
              <w:t xml:space="preserve">Missing/corrupt .joblib file</w:t>
            </w:r>
          </w:p>
        </w:tc>
        <w:tc>
          <w:tcPr>
            <w:tcW w:type="pct" w:w="26%"/>
            <w:tcMar>
              <w:top w:type="dxa" w:w="100"/>
              <w:left w:type="dxa" w:w="120"/>
              <w:bottom w:type="dxa" w:w="100"/>
              <w:right w:type="dxa" w:w="120"/>
            </w:tcMar>
            <w:vAlign w:val="center"/>
          </w:tcPr>
          <w:p>
            <w:r>
              <w:rPr>
                <w:sz w:val="20"/>
                <w:szCs w:val="20"/>
              </w:rPr>
              <w:t xml:space="preserve">App boots in “degraded mode”; engine-dependent routes 503</w:t>
            </w:r>
          </w:p>
        </w:tc>
        <w:tc>
          <w:tcPr>
            <w:tcW w:type="pct" w:w="22%"/>
            <w:tcMar>
              <w:top w:type="dxa" w:w="100"/>
              <w:left w:type="dxa" w:w="120"/>
              <w:bottom w:type="dxa" w:w="100"/>
              <w:right w:type="dxa" w:w="120"/>
            </w:tcMar>
            <w:vAlign w:val="center"/>
          </w:tcPr>
          <w:p>
            <w:r>
              <w:rPr>
                <w:sz w:val="20"/>
                <w:szCs w:val="20"/>
              </w:rPr>
              <w:t xml:space="preserve">Yes — rerun backend.warmup, restart</w:t>
            </w:r>
          </w:p>
        </w:tc>
      </w:tr>
      <w:tr>
        <w:tc>
          <w:tcPr>
            <w:tcW w:type="pct" w:w="22%"/>
            <w:shd w:fill="F5F0E8" w:val="clear"/>
            <w:tcMar>
              <w:top w:type="dxa" w:w="100"/>
              <w:left w:type="dxa" w:w="120"/>
              <w:bottom w:type="dxa" w:w="100"/>
              <w:right w:type="dxa" w:w="120"/>
            </w:tcMar>
            <w:vAlign w:val="center"/>
          </w:tcPr>
          <w:p>
            <w:r>
              <w:rPr>
                <w:sz w:val="20"/>
                <w:szCs w:val="20"/>
              </w:rPr>
              <w:t xml:space="preserve">Replay engine crash / data exhaustion</w:t>
            </w:r>
          </w:p>
        </w:tc>
        <w:tc>
          <w:tcPr>
            <w:tcW w:type="pct" w:w="30%"/>
            <w:shd w:fill="F5F0E8" w:val="clear"/>
            <w:tcMar>
              <w:top w:type="dxa" w:w="100"/>
              <w:left w:type="dxa" w:w="120"/>
              <w:bottom w:type="dxa" w:w="100"/>
              <w:right w:type="dxa" w:w="120"/>
            </w:tcMar>
            <w:vAlign w:val="center"/>
          </w:tcPr>
          <w:p>
            <w:r>
              <w:rPr>
                <w:sz w:val="20"/>
                <w:szCs w:val="20"/>
              </w:rPr>
              <w:t xml:space="preserve">Unhandled bug, or the capture day simply finishes</w:t>
            </w:r>
          </w:p>
        </w:tc>
        <w:tc>
          <w:tcPr>
            <w:tcW w:type="pct" w:w="26%"/>
            <w:shd w:fill="F5F0E8" w:val="clear"/>
            <w:tcMar>
              <w:top w:type="dxa" w:w="100"/>
              <w:left w:type="dxa" w:w="120"/>
              <w:bottom w:type="dxa" w:w="100"/>
              <w:right w:type="dxa" w:w="120"/>
            </w:tcMar>
            <w:vAlign w:val="center"/>
          </w:tcPr>
          <w:p>
            <w:r>
              <w:rPr>
                <w:sz w:val="20"/>
                <w:szCs w:val="20"/>
              </w:rPr>
              <w:t xml:space="preserve">Live feed stops advancing; </w:t>
            </w:r>
            <w:r>
              <w:rPr>
                <w:b/>
                <w:bCs/>
                <w:sz w:val="20"/>
                <w:szCs w:val="20"/>
              </w:rPr>
              <w:t xml:space="preserve">new this pass:</w:t>
            </w:r>
            <w:r>
              <w:rPr>
                <w:sz w:val="20"/>
                <w:szCs w:val="20"/>
              </w:rPr>
              <w:t xml:space="preserve"> an operator now has an explicit UI Restart button that rewinds the replay data to the top of the day from any state, including a fully-completed day</w:t>
            </w:r>
          </w:p>
        </w:tc>
        <w:tc>
          <w:tcPr>
            <w:tcW w:type="pct" w:w="22%"/>
            <w:shd w:fill="F5F0E8" w:val="clear"/>
            <w:tcMar>
              <w:top w:type="dxa" w:w="100"/>
              <w:left w:type="dxa" w:w="120"/>
              <w:bottom w:type="dxa" w:w="100"/>
              <w:right w:type="dxa" w:w="120"/>
            </w:tcMar>
            <w:vAlign w:val="center"/>
          </w:tcPr>
          <w:p>
            <w:r>
              <w:rPr>
                <w:sz w:val="20"/>
                <w:szCs w:val="20"/>
              </w:rPr>
              <w:t xml:space="preserve">Yes — one click, verified live against a day that had genuinely run to 100%</w:t>
            </w:r>
          </w:p>
        </w:tc>
      </w:tr>
      <w:tr>
        <w:tc>
          <w:tcPr>
            <w:tcW w:type="pct" w:w="22%"/>
            <w:tcMar>
              <w:top w:type="dxa" w:w="100"/>
              <w:left w:type="dxa" w:w="120"/>
              <w:bottom w:type="dxa" w:w="100"/>
              <w:right w:type="dxa" w:w="120"/>
            </w:tcMar>
            <w:vAlign w:val="center"/>
          </w:tcPr>
          <w:p>
            <w:r>
              <w:rPr>
                <w:sz w:val="20"/>
                <w:szCs w:val="20"/>
              </w:rPr>
              <w:t xml:space="preserve">Backend process restart</w:t>
            </w:r>
          </w:p>
        </w:tc>
        <w:tc>
          <w:tcPr>
            <w:tcW w:type="pct" w:w="30%"/>
            <w:tcMar>
              <w:top w:type="dxa" w:w="100"/>
              <w:left w:type="dxa" w:w="120"/>
              <w:bottom w:type="dxa" w:w="100"/>
              <w:right w:type="dxa" w:w="120"/>
            </w:tcMar>
            <w:vAlign w:val="center"/>
          </w:tcPr>
          <w:p>
            <w:r>
              <w:rPr>
                <w:sz w:val="20"/>
                <w:szCs w:val="20"/>
              </w:rPr>
              <w:t xml:space="preserve">Any crash or deploy</w:t>
            </w:r>
          </w:p>
        </w:tc>
        <w:tc>
          <w:tcPr>
            <w:tcW w:type="pct" w:w="26%"/>
            <w:tcMar>
              <w:top w:type="dxa" w:w="100"/>
              <w:left w:type="dxa" w:w="120"/>
              <w:bottom w:type="dxa" w:w="100"/>
              <w:right w:type="dxa" w:w="120"/>
            </w:tcMar>
            <w:vAlign w:val="center"/>
          </w:tcPr>
          <w:p>
            <w:r>
              <w:rPr>
                <w:sz w:val="20"/>
                <w:szCs w:val="20"/>
              </w:rPr>
              <w:t xml:space="preserve">In-memory replay position/speed/session LOST; persisted events/alerts survive</w:t>
            </w:r>
          </w:p>
        </w:tc>
        <w:tc>
          <w:tcPr>
            <w:tcW w:type="pct" w:w="22%"/>
            <w:tcMar>
              <w:top w:type="dxa" w:w="100"/>
              <w:left w:type="dxa" w:w="120"/>
              <w:bottom w:type="dxa" w:w="100"/>
              <w:right w:type="dxa" w:w="120"/>
            </w:tcMar>
            <w:vAlign w:val="center"/>
          </w:tcPr>
          <w:p>
            <w:r>
              <w:rPr>
                <w:sz w:val="20"/>
                <w:szCs w:val="20"/>
              </w:rPr>
              <w:t xml:space="preserve">Operator must POST /api/replay/start again — unchanged, no auto-resume</w:t>
            </w:r>
          </w:p>
        </w:tc>
      </w:tr>
      <w:tr>
        <w:tc>
          <w:tcPr>
            <w:tcW w:type="pct" w:w="22%"/>
            <w:shd w:fill="F5F0E8" w:val="clear"/>
            <w:tcMar>
              <w:top w:type="dxa" w:w="100"/>
              <w:left w:type="dxa" w:w="120"/>
              <w:bottom w:type="dxa" w:w="100"/>
              <w:right w:type="dxa" w:w="120"/>
            </w:tcMar>
            <w:vAlign w:val="center"/>
          </w:tcPr>
          <w:p>
            <w:r>
              <w:rPr>
                <w:sz w:val="20"/>
                <w:szCs w:val="20"/>
              </w:rPr>
              <w:t xml:space="preserve">WS client falls behind</w:t>
            </w:r>
          </w:p>
        </w:tc>
        <w:tc>
          <w:tcPr>
            <w:tcW w:type="pct" w:w="30%"/>
            <w:shd w:fill="F5F0E8" w:val="clear"/>
            <w:tcMar>
              <w:top w:type="dxa" w:w="100"/>
              <w:left w:type="dxa" w:w="120"/>
              <w:bottom w:type="dxa" w:w="100"/>
              <w:right w:type="dxa" w:w="120"/>
            </w:tcMar>
            <w:vAlign w:val="center"/>
          </w:tcPr>
          <w:p>
            <w:r>
              <w:rPr>
                <w:sz w:val="20"/>
                <w:szCs w:val="20"/>
              </w:rPr>
              <w:t xml:space="preserve">Slow network / busy tab</w:t>
            </w:r>
          </w:p>
        </w:tc>
        <w:tc>
          <w:tcPr>
            <w:tcW w:type="pct" w:w="26%"/>
            <w:shd w:fill="F5F0E8" w:val="clear"/>
            <w:tcMar>
              <w:top w:type="dxa" w:w="100"/>
              <w:left w:type="dxa" w:w="120"/>
              <w:bottom w:type="dxa" w:w="100"/>
              <w:right w:type="dxa" w:w="120"/>
            </w:tcMar>
            <w:vAlign w:val="center"/>
          </w:tcPr>
          <w:p>
            <w:r>
              <w:rPr>
                <w:sz w:val="20"/>
                <w:szCs w:val="20"/>
              </w:rPr>
              <w:t xml:space="preserve">Silently drops the OLDEST buffered event for that client only</w:t>
            </w:r>
          </w:p>
        </w:tc>
        <w:tc>
          <w:tcPr>
            <w:tcW w:type="pct" w:w="22%"/>
            <w:shd w:fill="F5F0E8" w:val="clear"/>
            <w:tcMar>
              <w:top w:type="dxa" w:w="100"/>
              <w:left w:type="dxa" w:w="120"/>
              <w:bottom w:type="dxa" w:w="100"/>
              <w:right w:type="dxa" w:w="120"/>
            </w:tcMar>
            <w:vAlign w:val="center"/>
          </w:tcPr>
          <w:p>
            <w:r>
              <w:rPr>
                <w:sz w:val="20"/>
                <w:szCs w:val="20"/>
              </w:rPr>
              <w:t xml:space="preserve">No; data gone from that client's live view — unchanged</w:t>
            </w:r>
          </w:p>
        </w:tc>
      </w:tr>
      <w:tr>
        <w:tc>
          <w:tcPr>
            <w:tcW w:type="pct" w:w="22%"/>
            <w:tcMar>
              <w:top w:type="dxa" w:w="100"/>
              <w:left w:type="dxa" w:w="120"/>
              <w:bottom w:type="dxa" w:w="100"/>
              <w:right w:type="dxa" w:w="120"/>
            </w:tcMar>
            <w:vAlign w:val="center"/>
          </w:tcPr>
          <w:p>
            <w:r>
              <w:rPr>
                <w:sz w:val="20"/>
                <w:szCs w:val="20"/>
              </w:rPr>
              <w:t xml:space="preserve">Postgres unreachable</w:t>
            </w:r>
          </w:p>
        </w:tc>
        <w:tc>
          <w:tcPr>
            <w:tcW w:type="pct" w:w="30%"/>
            <w:tcMar>
              <w:top w:type="dxa" w:w="100"/>
              <w:left w:type="dxa" w:w="120"/>
              <w:bottom w:type="dxa" w:w="100"/>
              <w:right w:type="dxa" w:w="120"/>
            </w:tcMar>
            <w:vAlign w:val="center"/>
          </w:tcPr>
          <w:p>
            <w:r>
              <w:rPr>
                <w:sz w:val="20"/>
                <w:szCs w:val="20"/>
              </w:rPr>
              <w:t xml:space="preserve">DB down/misconfigured</w:t>
            </w:r>
          </w:p>
        </w:tc>
        <w:tc>
          <w:tcPr>
            <w:tcW w:type="pct" w:w="26%"/>
            <w:tcMar>
              <w:top w:type="dxa" w:w="100"/>
              <w:left w:type="dxa" w:w="120"/>
              <w:bottom w:type="dxa" w:w="100"/>
              <w:right w:type="dxa" w:w="120"/>
            </w:tcMar>
            <w:vAlign w:val="center"/>
          </w:tcPr>
          <w:p>
            <w:r>
              <w:rPr>
                <w:sz w:val="20"/>
                <w:szCs w:val="20"/>
              </w:rPr>
              <w:t xml:space="preserve">503 from health and any DB-touching route</w:t>
            </w:r>
          </w:p>
        </w:tc>
        <w:tc>
          <w:tcPr>
            <w:tcW w:type="pct" w:w="22%"/>
            <w:tcMar>
              <w:top w:type="dxa" w:w="100"/>
              <w:left w:type="dxa" w:w="120"/>
              <w:bottom w:type="dxa" w:w="100"/>
              <w:right w:type="dxa" w:w="120"/>
            </w:tcMar>
            <w:vAlign w:val="center"/>
          </w:tcPr>
          <w:p>
            <w:r>
              <w:rPr>
                <w:sz w:val="20"/>
                <w:szCs w:val="20"/>
              </w:rPr>
              <w:t xml:space="preserve">Yes once DB restored — unchanged</w:t>
            </w:r>
          </w:p>
        </w:tc>
      </w:tr>
      <w:tr>
        <w:tc>
          <w:tcPr>
            <w:tcW w:type="pct" w:w="22%"/>
            <w:shd w:fill="F5F0E8" w:val="clear"/>
            <w:tcMar>
              <w:top w:type="dxa" w:w="100"/>
              <w:left w:type="dxa" w:w="120"/>
              <w:bottom w:type="dxa" w:w="100"/>
              <w:right w:type="dxa" w:w="120"/>
            </w:tcMar>
            <w:vAlign w:val="center"/>
          </w:tcPr>
          <w:p>
            <w:r>
              <w:rPr>
                <w:sz w:val="20"/>
                <w:szCs w:val="20"/>
              </w:rPr>
              <w:t xml:space="preserve">CII cascade silently stops updating (NEW finding, fixed this pass)</w:t>
            </w:r>
          </w:p>
        </w:tc>
        <w:tc>
          <w:tcPr>
            <w:tcW w:type="pct" w:w="30%"/>
            <w:shd w:fill="F5F0E8" w:val="clear"/>
            <w:tcMar>
              <w:top w:type="dxa" w:w="100"/>
              <w:left w:type="dxa" w:w="120"/>
              <w:bottom w:type="dxa" w:w="100"/>
              <w:right w:type="dxa" w:w="120"/>
            </w:tcMar>
            <w:vAlign w:val="center"/>
          </w:tcPr>
          <w:p>
            <w:r>
              <w:rPr>
                <w:sz w:val="20"/>
                <w:szCs w:val="20"/>
              </w:rPr>
              <w:t xml:space="preserve">An asset gets repeatedly compromised inside its alert debounce window</w:t>
            </w:r>
          </w:p>
        </w:tc>
        <w:tc>
          <w:tcPr>
            <w:tcW w:type="pct" w:w="26%"/>
            <w:shd w:fill="F5F0E8" w:val="clear"/>
            <w:tcMar>
              <w:top w:type="dxa" w:w="100"/>
              <w:left w:type="dxa" w:w="120"/>
              <w:bottom w:type="dxa" w:w="100"/>
              <w:right w:type="dxa" w:w="120"/>
            </w:tcMar>
            <w:vAlign w:val="center"/>
          </w:tcPr>
          <w:p>
            <w:r>
              <w:rPr>
                <w:sz w:val="20"/>
                <w:szCs w:val="20"/>
              </w:rPr>
              <w:t xml:space="preserve">Was: the graph's cascade overlay froze on the first hit even though the compromise continued. Now: fixed, verified live via a captured WebSocket frame count</w:t>
            </w:r>
          </w:p>
        </w:tc>
        <w:tc>
          <w:tcPr>
            <w:tcW w:type="pct" w:w="22%"/>
            <w:shd w:fill="F5F0E8" w:val="clear"/>
            <w:tcMar>
              <w:top w:type="dxa" w:w="100"/>
              <w:left w:type="dxa" w:w="120"/>
              <w:bottom w:type="dxa" w:w="100"/>
              <w:right w:type="dxa" w:w="120"/>
            </w:tcMar>
            <w:vAlign w:val="center"/>
          </w:tcPr>
          <w:p>
            <w:r>
              <w:rPr>
                <w:sz w:val="20"/>
                <w:szCs w:val="20"/>
              </w:rPr>
              <w:t xml:space="preserve">N/A — fixed, not a live failure mode any more</w:t>
            </w:r>
          </w:p>
        </w:tc>
      </w:tr>
    </w:tbl>
    <w:p>
      <w:pPr>
        <w:spacing w:after="140" w:line="276"/>
      </w:pPr>
      <w:r>
        <w:t xml:space="preserve">Weakest subsystem, still named plainly: the single, single-instance ReplayEngine combined with in-memory-only replay state — now with a better recovery UX (the restart button), not a different architecture.</w:t>
      </w:r>
    </w:p>
    <w:p>
      <w:pPr>
        <w:pStyle w:val="Heading1"/>
        <w:pBdr>
          <w:bottom w:val="single" w:color="B45309" w:sz="12" w:space="4"/>
        </w:pBdr>
        <w:spacing w:after="200" w:before="480"/>
      </w:pPr>
      <w:r>
        <w:rPr>
          <w:b/>
          <w:bCs/>
          <w:color w:val="B45309"/>
          <w:sz w:val="30"/>
          <w:szCs w:val="30"/>
        </w:rPr>
        <w:t xml:space="preserve">PART 14 — Architectural Decision Reasoning</w:t>
      </w:r>
    </w:p>
    <w:p>
      <w:pPr>
        <w:spacing w:after="140" w:line="276"/>
      </w:pPr>
      <w:r>
        <w:t xml:space="preserve">Every row below is a direct quote or close paraphrase from the project's own planning docs and code comments — nothing here is invented rationale.</w:t>
      </w:r>
    </w:p>
    <w:tbl>
      <w:tblPr>
        <w:tblW w:type="pct" w:w="100%"/>
        <w:tblBorders>
          <w:top w:val="single" w:color="D8CBB0" w:sz="4"/>
          <w:left w:val="single" w:color="D8CBB0" w:sz="4"/>
          <w:bottom w:val="single" w:color="D8CBB0" w:sz="4"/>
          <w:right w:val="single" w:color="D8CBB0" w:sz="4"/>
          <w:insideH w:val="single" w:color="D8CBB0" w:sz="4"/>
          <w:insideV w:val="single" w:color="D8CBB0" w:sz="4"/>
        </w:tblBorders>
      </w:tblPr>
      <w:tblGrid>
        <w:gridCol w:w="100"/>
        <w:gridCol w:w="100"/>
      </w:tblGrid>
      <w:tr>
        <w:trPr>
          <w:tblHeader/>
        </w:trPr>
        <w:tc>
          <w:tcPr>
            <w:tcW w:type="pct" w:w="30%"/>
            <w:shd w:fill="1C1917" w:val="clear"/>
            <w:tcMar>
              <w:top w:type="dxa" w:w="100"/>
              <w:left w:type="dxa" w:w="120"/>
              <w:bottom w:type="dxa" w:w="100"/>
              <w:right w:type="dxa" w:w="120"/>
            </w:tcMar>
            <w:vAlign w:val="center"/>
          </w:tcPr>
          <w:p>
            <w:r>
              <w:rPr>
                <w:b/>
                <w:bCs/>
                <w:color w:val="FFFFFF"/>
                <w:sz w:val="19"/>
                <w:szCs w:val="19"/>
              </w:rPr>
              <w:t xml:space="preserve">Decision</w:t>
            </w:r>
          </w:p>
        </w:tc>
        <w:tc>
          <w:tcPr>
            <w:tcW w:type="pct" w:w="70%"/>
            <w:shd w:fill="1C1917" w:val="clear"/>
            <w:tcMar>
              <w:top w:type="dxa" w:w="100"/>
              <w:left w:type="dxa" w:w="120"/>
              <w:bottom w:type="dxa" w:w="100"/>
              <w:right w:type="dxa" w:w="120"/>
            </w:tcMar>
            <w:vAlign w:val="center"/>
          </w:tcPr>
          <w:p>
            <w:r>
              <w:rPr>
                <w:b/>
                <w:bCs/>
                <w:color w:val="FFFFFF"/>
                <w:sz w:val="19"/>
                <w:szCs w:val="19"/>
              </w:rPr>
              <w:t xml:space="preserve">Documented reasoning</w:t>
            </w:r>
          </w:p>
        </w:tc>
      </w:tr>
      <w:tr>
        <w:tc>
          <w:tcPr>
            <w:tcW w:type="pct" w:w="30%"/>
            <w:tcMar>
              <w:top w:type="dxa" w:w="100"/>
              <w:left w:type="dxa" w:w="120"/>
              <w:bottom w:type="dxa" w:w="100"/>
              <w:right w:type="dxa" w:w="120"/>
            </w:tcMar>
            <w:vAlign w:val="center"/>
          </w:tcPr>
          <w:p>
            <w:r>
              <w:rPr>
                <w:sz w:val="20"/>
                <w:szCs w:val="20"/>
              </w:rPr>
              <w:t xml:space="preserve">Hard gateway chokepoint, not a passive tap</w:t>
            </w:r>
          </w:p>
        </w:tc>
        <w:tc>
          <w:tcPr>
            <w:tcW w:type="pct" w:w="70%"/>
            <w:tcMar>
              <w:top w:type="dxa" w:w="100"/>
              <w:left w:type="dxa" w:w="120"/>
              <w:bottom w:type="dxa" w:w="100"/>
              <w:right w:type="dxa" w:w="120"/>
            </w:tcMar>
            <w:vAlign w:val="center"/>
          </w:tcPr>
          <w:p>
            <w:r>
              <w:rPr>
                <w:sz w:val="20"/>
                <w:szCs w:val="20"/>
              </w:rPr>
              <w:t xml:space="preserve">“a soft tap doesn't actually make anything mandatory, undermining the whole point” — unchanged</w:t>
            </w:r>
          </w:p>
        </w:tc>
      </w:tr>
      <w:tr>
        <w:tc>
          <w:tcPr>
            <w:tcW w:type="pct" w:w="30%"/>
            <w:shd w:fill="F5F0E8" w:val="clear"/>
            <w:tcMar>
              <w:top w:type="dxa" w:w="100"/>
              <w:left w:type="dxa" w:w="120"/>
              <w:bottom w:type="dxa" w:w="100"/>
              <w:right w:type="dxa" w:w="120"/>
            </w:tcMar>
            <w:vAlign w:val="center"/>
          </w:tcPr>
          <w:p>
            <w:r>
              <w:rPr>
                <w:sz w:val="20"/>
                <w:szCs w:val="20"/>
              </w:rPr>
              <w:t xml:space="preserve">PostgreSQL</w:t>
            </w:r>
          </w:p>
        </w:tc>
        <w:tc>
          <w:tcPr>
            <w:tcW w:type="pct" w:w="70%"/>
            <w:shd w:fill="F5F0E8" w:val="clear"/>
            <w:tcMar>
              <w:top w:type="dxa" w:w="100"/>
              <w:left w:type="dxa" w:w="120"/>
              <w:bottom w:type="dxa" w:w="100"/>
              <w:right w:type="dxa" w:w="120"/>
            </w:tcMar>
            <w:vAlign w:val="center"/>
          </w:tcPr>
          <w:p>
            <w:r>
              <w:rPr>
                <w:sz w:val="20"/>
                <w:szCs w:val="20"/>
              </w:rPr>
              <w:t xml:space="preserve">“The name judges recognize as real infrastructure” — unchanged</w:t>
            </w:r>
          </w:p>
        </w:tc>
      </w:tr>
      <w:tr>
        <w:tc>
          <w:tcPr>
            <w:tcW w:type="pct" w:w="30%"/>
            <w:tcMar>
              <w:top w:type="dxa" w:w="100"/>
              <w:left w:type="dxa" w:w="120"/>
              <w:bottom w:type="dxa" w:w="100"/>
              <w:right w:type="dxa" w:w="120"/>
            </w:tcMar>
            <w:vAlign w:val="center"/>
          </w:tcPr>
          <w:p>
            <w:r>
              <w:rPr>
                <w:sz w:val="20"/>
                <w:szCs w:val="20"/>
              </w:rPr>
              <w:t xml:space="preserve">Segment-wise recall / row-wise precision over point-adjust</w:t>
            </w:r>
          </w:p>
        </w:tc>
        <w:tc>
          <w:tcPr>
            <w:tcW w:type="pct" w:w="70%"/>
            <w:tcMar>
              <w:top w:type="dxa" w:w="100"/>
              <w:left w:type="dxa" w:w="120"/>
              <w:bottom w:type="dxa" w:w="100"/>
              <w:right w:type="dxa" w:w="120"/>
            </w:tcMar>
            <w:vAlign w:val="center"/>
          </w:tcPr>
          <w:p>
            <w:r>
              <w:rPr>
                <w:sz w:val="20"/>
                <w:szCs w:val="20"/>
              </w:rPr>
              <w:t xml:space="preserve">Point-adjust “can inflate scores by masking timing errors” — unchanged</w:t>
            </w:r>
          </w:p>
        </w:tc>
      </w:tr>
      <w:tr>
        <w:tc>
          <w:tcPr>
            <w:tcW w:type="pct" w:w="30%"/>
            <w:shd w:fill="F5F0E8" w:val="clear"/>
            <w:tcMar>
              <w:top w:type="dxa" w:w="100"/>
              <w:left w:type="dxa" w:w="120"/>
              <w:bottom w:type="dxa" w:w="100"/>
              <w:right w:type="dxa" w:w="120"/>
            </w:tcMar>
            <w:vAlign w:val="center"/>
          </w:tcPr>
          <w:p>
            <w:r>
              <w:rPr>
                <w:sz w:val="20"/>
                <w:szCs w:val="20"/>
              </w:rPr>
              <w:t xml:space="preserve">StreamingScorer fit-once, never refit live</w:t>
            </w:r>
          </w:p>
        </w:tc>
        <w:tc>
          <w:tcPr>
            <w:tcW w:type="pct" w:w="70%"/>
            <w:shd w:fill="F5F0E8" w:val="clear"/>
            <w:tcMar>
              <w:top w:type="dxa" w:w="100"/>
              <w:left w:type="dxa" w:w="120"/>
              <w:bottom w:type="dxa" w:w="100"/>
              <w:right w:type="dxa" w:w="120"/>
            </w:tcMar>
            <w:vAlign w:val="center"/>
          </w:tcPr>
          <w:p>
            <w:r>
              <w:rPr>
                <w:sz w:val="20"/>
                <w:szCs w:val="20"/>
              </w:rPr>
              <w:t xml:space="preserve">“refitting per event lets the baseline drift toward the attack, and the anomaly scores stop meaning anything” — unchanged</w:t>
            </w:r>
          </w:p>
        </w:tc>
      </w:tr>
      <w:tr>
        <w:tc>
          <w:tcPr>
            <w:tcW w:type="pct" w:w="30%"/>
            <w:tcMar>
              <w:top w:type="dxa" w:w="100"/>
              <w:left w:type="dxa" w:w="120"/>
              <w:bottom w:type="dxa" w:w="100"/>
              <w:right w:type="dxa" w:w="120"/>
            </w:tcMar>
            <w:vAlign w:val="center"/>
          </w:tcPr>
          <w:p>
            <w:r>
              <w:rPr>
                <w:sz w:val="20"/>
                <w:szCs w:val="20"/>
              </w:rPr>
              <w:t xml:space="preserve">NEW — Confirmed-signal precedence in fusion, not folded into the noisy-OR product</w:t>
            </w:r>
          </w:p>
        </w:tc>
        <w:tc>
          <w:tcPr>
            <w:tcW w:type="pct" w:w="70%"/>
            <w:tcMar>
              <w:top w:type="dxa" w:w="100"/>
              <w:left w:type="dxa" w:w="120"/>
              <w:bottom w:type="dxa" w:w="100"/>
              <w:right w:type="dxa" w:w="120"/>
            </w:tcMar>
            <w:vAlign w:val="center"/>
          </w:tcPr>
          <w:p>
            <w:r>
              <w:rPr>
                <w:sz w:val="20"/>
                <w:szCs w:val="20"/>
              </w:rPr>
              <w:t xml:space="preserve">A zero-false-positive signal (the tripwire) must never be mathematically diluted by weaker channels firing alongside it. Certainty is part of the DetectorVerdict contract, not a tunable weight, specifically so this guarantee is structural, not a threshold that could drift.</w:t>
            </w:r>
          </w:p>
        </w:tc>
      </w:tr>
      <w:tr>
        <w:tc>
          <w:tcPr>
            <w:tcW w:type="pct" w:w="30%"/>
            <w:shd w:fill="F5F0E8" w:val="clear"/>
            <w:tcMar>
              <w:top w:type="dxa" w:w="100"/>
              <w:left w:type="dxa" w:w="120"/>
              <w:bottom w:type="dxa" w:w="100"/>
              <w:right w:type="dxa" w:w="120"/>
            </w:tcMar>
            <w:vAlign w:val="center"/>
          </w:tcPr>
          <w:p>
            <w:r>
              <w:rPr>
                <w:sz w:val="20"/>
                <w:szCs w:val="20"/>
              </w:rPr>
              <w:t xml:space="preserve">NEW — hybrid_gates_alerts defaults False</w:t>
            </w:r>
          </w:p>
        </w:tc>
        <w:tc>
          <w:tcPr>
            <w:tcW w:type="pct" w:w="70%"/>
            <w:shd w:fill="F5F0E8" w:val="clear"/>
            <w:tcMar>
              <w:top w:type="dxa" w:w="100"/>
              <w:left w:type="dxa" w:w="120"/>
              <w:bottom w:type="dxa" w:w="100"/>
              <w:right w:type="dxa" w:w="120"/>
            </w:tcMar>
            <w:vAlign w:val="center"/>
          </w:tcPr>
          <w:p>
            <w:r>
              <w:rPr>
                <w:sz w:val="20"/>
                <w:szCs w:val="20"/>
              </w:rPr>
              <w:t xml:space="preserve">“the layer ships observable-but-not-authoritative first ... every alert/risk figure already published is derived from [the existing] policy” (backend/config.py field docstring) — turning it on is a stated future policy decision requiring re-measurement, not a default.</w:t>
            </w:r>
          </w:p>
        </w:tc>
      </w:tr>
      <w:tr>
        <w:tc>
          <w:tcPr>
            <w:tcW w:type="pct" w:w="30%"/>
            <w:tcMar>
              <w:top w:type="dxa" w:w="100"/>
              <w:left w:type="dxa" w:w="120"/>
              <w:bottom w:type="dxa" w:w="100"/>
              <w:right w:type="dxa" w:w="120"/>
            </w:tcMar>
            <w:vAlign w:val="center"/>
          </w:tcPr>
          <w:p>
            <w:r>
              <w:rPr>
                <w:sz w:val="20"/>
                <w:szCs w:val="20"/>
              </w:rPr>
              <w:t xml:space="preserve">NEW — FlowFeatures excludes ReplayFlow's label/is_attack fields structurally</w:t>
            </w:r>
          </w:p>
        </w:tc>
        <w:tc>
          <w:tcPr>
            <w:tcW w:type="pct" w:w="70%"/>
            <w:tcMar>
              <w:top w:type="dxa" w:w="100"/>
              <w:left w:type="dxa" w:w="120"/>
              <w:bottom w:type="dxa" w:w="100"/>
              <w:right w:type="dxa" w:w="120"/>
            </w:tcMar>
            <w:vAlign w:val="center"/>
          </w:tcPr>
          <w:p>
            <w:r>
              <w:rPr>
                <w:sz w:val="20"/>
                <w:szCs w:val="20"/>
              </w:rPr>
              <w:t xml:space="preserve">This project has already been bitten twice by label leakage (the circular-labeling bug in PLAN_MASTER.md, and the scaler leak this same pass fixed) — the projection is built so a detector cannot read ground truth even by a one-character mistake, verifiable by reading one dataclass rather than auditing every detector.</w:t>
            </w:r>
          </w:p>
        </w:tc>
      </w:tr>
      <w:tr>
        <w:tc>
          <w:tcPr>
            <w:tcW w:type="pct" w:w="30%"/>
            <w:shd w:fill="F5F0E8" w:val="clear"/>
            <w:tcMar>
              <w:top w:type="dxa" w:w="100"/>
              <w:left w:type="dxa" w:w="120"/>
              <w:bottom w:type="dxa" w:w="100"/>
              <w:right w:type="dxa" w:w="120"/>
            </w:tcMar>
            <w:vAlign w:val="center"/>
          </w:tcPr>
          <w:p>
            <w:r>
              <w:rPr>
                <w:sz w:val="20"/>
                <w:szCs w:val="20"/>
              </w:rPr>
              <w:t xml:space="preserve">NEW — gateways/City_Grid given a real synthetic sector ("core") instead of a fallback that omits them</w:t>
            </w:r>
          </w:p>
        </w:tc>
        <w:tc>
          <w:tcPr>
            <w:tcW w:type="pct" w:w="70%"/>
            <w:shd w:fill="F5F0E8" w:val="clear"/>
            <w:tcMar>
              <w:top w:type="dxa" w:w="100"/>
              <w:left w:type="dxa" w:w="120"/>
              <w:bottom w:type="dxa" w:w="100"/>
              <w:right w:type="dxa" w:w="120"/>
            </w:tcMar>
            <w:vAlign w:val="center"/>
          </w:tcPr>
          <w:p>
            <w:r>
              <w:rPr>
                <w:sz w:val="20"/>
                <w:szCs w:val="20"/>
              </w:rPr>
              <w:t xml:space="preserve">The alternative (leave them sector-less) is exactly the bug this pass fixed: a null sector meant no display node, meant no possible display node for any edge touching them, meant a real cascade path silently missing from the one view an operator watches by default.</w:t>
            </w:r>
          </w:p>
        </w:tc>
      </w:tr>
    </w:tbl>
    <w:p>
      <w:pPr>
        <w:spacing w:after="140" w:line="276"/>
      </w:pPr>
      <w:r>
        <w:rPr>
          <w:b/>
          <w:bCs/>
          <w:color w:val="6B7280"/>
          <w:sz w:val="19"/>
          <w:szCs w:val="19"/>
        </w:rPr>
        <w:t xml:space="preserve">[NOT SPECIFIED] </w:t>
      </w:r>
      <w:r>
        <w:t xml:space="preserve">Still not documented anywhere: why Monte Carlo simulation over static graph-centrality metrics; why Isolation Forest specifically; why the original three volumetric features were chosen before the study revealed their weakness; why 20x is the default replay speed; why react-force-graph-2d specifically; why noisy-OR specifically over other evidence-fusion combinators (Dempster-Shafer, Bayesian networks) beyond the comparison this document itself now supplies in Part 8 — that comparison is this document's own addition, not a project-doc citation, and should be presented as your own engineering reasoning if asked.</w:t>
      </w:r>
    </w:p>
    <w:p>
      <w:pPr>
        <w:pStyle w:val="Heading1"/>
        <w:pBdr>
          <w:bottom w:val="single" w:color="B45309" w:sz="12" w:space="4"/>
        </w:pBdr>
        <w:spacing w:after="200" w:before="480"/>
      </w:pPr>
      <w:r>
        <w:rPr>
          <w:b/>
          <w:bCs/>
          <w:color w:val="B45309"/>
          <w:sz w:val="30"/>
          <w:szCs w:val="30"/>
        </w:rPr>
        <w:t xml:space="preserve">PART 15 — Alternative Solutions</w:t>
      </w:r>
    </w:p>
    <w:tbl>
      <w:tblPr>
        <w:tblW w:type="pct" w:w="100%"/>
        <w:tblBorders>
          <w:top w:val="single" w:color="D8CBB0" w:sz="4"/>
          <w:left w:val="single" w:color="D8CBB0" w:sz="4"/>
          <w:bottom w:val="single" w:color="D8CBB0" w:sz="4"/>
          <w:right w:val="single" w:color="D8CBB0" w:sz="4"/>
          <w:insideH w:val="single" w:color="D8CBB0" w:sz="4"/>
          <w:insideV w:val="single" w:color="D8CBB0" w:sz="4"/>
        </w:tblBorders>
      </w:tblPr>
      <w:tblGrid>
        <w:gridCol w:w="100"/>
        <w:gridCol w:w="100"/>
        <w:gridCol w:w="100"/>
      </w:tblGrid>
      <w:tr>
        <w:trPr>
          <w:tblHeader/>
        </w:trPr>
        <w:tc>
          <w:tcPr>
            <w:tcW w:type="pct" w:w="26%"/>
            <w:shd w:fill="1C1917" w:val="clear"/>
            <w:tcMar>
              <w:top w:type="dxa" w:w="100"/>
              <w:left w:type="dxa" w:w="120"/>
              <w:bottom w:type="dxa" w:w="100"/>
              <w:right w:type="dxa" w:w="120"/>
            </w:tcMar>
            <w:vAlign w:val="center"/>
          </w:tcPr>
          <w:p>
            <w:r>
              <w:rPr>
                <w:b/>
                <w:bCs/>
                <w:color w:val="FFFFFF"/>
                <w:sz w:val="19"/>
                <w:szCs w:val="19"/>
              </w:rPr>
              <w:t xml:space="preserve">Alternative</w:t>
            </w:r>
          </w:p>
        </w:tc>
        <w:tc>
          <w:tcPr>
            <w:tcW w:type="pct" w:w="32%"/>
            <w:shd w:fill="1C1917" w:val="clear"/>
            <w:tcMar>
              <w:top w:type="dxa" w:w="100"/>
              <w:left w:type="dxa" w:w="120"/>
              <w:bottom w:type="dxa" w:w="100"/>
              <w:right w:type="dxa" w:w="120"/>
            </w:tcMar>
            <w:vAlign w:val="center"/>
          </w:tcPr>
          <w:p>
            <w:r>
              <w:rPr>
                <w:b/>
                <w:bCs/>
                <w:color w:val="FFFFFF"/>
                <w:sz w:val="19"/>
                <w:szCs w:val="19"/>
              </w:rPr>
              <w:t xml:space="preserve">How it would work</w:t>
            </w:r>
          </w:p>
        </w:tc>
        <w:tc>
          <w:tcPr>
            <w:tcW w:type="pct" w:w="42%"/>
            <w:shd w:fill="1C1917" w:val="clear"/>
            <w:tcMar>
              <w:top w:type="dxa" w:w="100"/>
              <w:left w:type="dxa" w:w="120"/>
              <w:bottom w:type="dxa" w:w="100"/>
              <w:right w:type="dxa" w:w="120"/>
            </w:tcMar>
            <w:vAlign w:val="center"/>
          </w:tcPr>
          <w:p>
            <w:r>
              <w:rPr>
                <w:b/>
                <w:bCs/>
                <w:color w:val="FFFFFF"/>
                <w:sz w:val="19"/>
                <w:szCs w:val="19"/>
              </w:rPr>
              <w:t xml:space="preserve">Trade-off vs. AEGIS's choice</w:t>
            </w:r>
          </w:p>
        </w:tc>
      </w:tr>
      <w:tr>
        <w:tc>
          <w:tcPr>
            <w:tcW w:type="pct" w:w="26%"/>
            <w:tcMar>
              <w:top w:type="dxa" w:w="100"/>
              <w:left w:type="dxa" w:w="120"/>
              <w:bottom w:type="dxa" w:w="100"/>
              <w:right w:type="dxa" w:w="120"/>
            </w:tcMar>
            <w:vAlign w:val="center"/>
          </w:tcPr>
          <w:p>
            <w:r>
              <w:rPr>
                <w:sz w:val="20"/>
                <w:szCs w:val="20"/>
              </w:rPr>
              <w:t xml:space="preserve">Static graph centrality instead of Monte Carlo CII</w:t>
            </w:r>
          </w:p>
        </w:tc>
        <w:tc>
          <w:tcPr>
            <w:tcW w:type="pct" w:w="32%"/>
            <w:tcMar>
              <w:top w:type="dxa" w:w="100"/>
              <w:left w:type="dxa" w:w="120"/>
              <w:bottom w:type="dxa" w:w="100"/>
              <w:right w:type="dxa" w:w="120"/>
            </w:tcMar>
            <w:vAlign w:val="center"/>
          </w:tcPr>
          <w:p>
            <w:r>
              <w:rPr>
                <w:sz w:val="20"/>
                <w:szCs w:val="20"/>
              </w:rPr>
              <w:t xml:space="preserve">Rank nodes by structural importance once, no simulation</w:t>
            </w:r>
          </w:p>
        </w:tc>
        <w:tc>
          <w:tcPr>
            <w:tcW w:type="pct" w:w="42%"/>
            <w:tcMar>
              <w:top w:type="dxa" w:w="100"/>
              <w:left w:type="dxa" w:w="120"/>
              <w:bottom w:type="dxa" w:w="100"/>
              <w:right w:type="dxa" w:w="120"/>
            </w:tcMar>
            <w:vAlign w:val="center"/>
          </w:tcPr>
          <w:p>
            <w:r>
              <w:rPr>
                <w:sz w:val="20"/>
                <w:szCs w:val="20"/>
              </w:rPr>
              <w:t xml:space="preserve">Cheaper, but gives a fixed score, not a scenario-specific, uncertainty-aware blast-radius estimate. Unchanged.</w:t>
            </w:r>
          </w:p>
        </w:tc>
      </w:tr>
      <w:tr>
        <w:tc>
          <w:tcPr>
            <w:tcW w:type="pct" w:w="26%"/>
            <w:shd w:fill="F5F0E8" w:val="clear"/>
            <w:tcMar>
              <w:top w:type="dxa" w:w="100"/>
              <w:left w:type="dxa" w:w="120"/>
              <w:bottom w:type="dxa" w:w="100"/>
              <w:right w:type="dxa" w:w="120"/>
            </w:tcMar>
            <w:vAlign w:val="center"/>
          </w:tcPr>
          <w:p>
            <w:r>
              <w:rPr>
                <w:sz w:val="20"/>
                <w:szCs w:val="20"/>
              </w:rPr>
              <w:t xml:space="preserve">Deep learning (autoencoder/LSTM) for anomaly detection</w:t>
            </w:r>
          </w:p>
        </w:tc>
        <w:tc>
          <w:tcPr>
            <w:tcW w:type="pct" w:w="32%"/>
            <w:shd w:fill="F5F0E8" w:val="clear"/>
            <w:tcMar>
              <w:top w:type="dxa" w:w="100"/>
              <w:left w:type="dxa" w:w="120"/>
              <w:bottom w:type="dxa" w:w="100"/>
              <w:right w:type="dxa" w:w="120"/>
            </w:tcMar>
            <w:vAlign w:val="center"/>
          </w:tcPr>
          <w:p>
            <w:r>
              <w:rPr>
                <w:sz w:val="20"/>
                <w:szCs w:val="20"/>
              </w:rPr>
              <w:t xml:space="preserve">Learn a reconstruction-error or sequence-prediction score</w:t>
            </w:r>
          </w:p>
        </w:tc>
        <w:tc>
          <w:tcPr>
            <w:tcW w:type="pct" w:w="42%"/>
            <w:shd w:fill="F5F0E8" w:val="clear"/>
            <w:tcMar>
              <w:top w:type="dxa" w:w="100"/>
              <w:left w:type="dxa" w:w="120"/>
              <w:bottom w:type="dxa" w:w="100"/>
              <w:right w:type="dxa" w:w="120"/>
            </w:tcMar>
            <w:vAlign w:val="center"/>
          </w:tcPr>
          <w:p>
            <w:r>
              <w:rPr>
                <w:sz w:val="20"/>
                <w:szCs w:val="20"/>
              </w:rPr>
              <w:t xml:space="preserve">Needs more data/time than an 8-day sprint; DETECTION_STUDY.md's finding suggests it would likely inherit the same volumetric blind spot the beaconing detector was built to answer instead.</w:t>
            </w:r>
          </w:p>
        </w:tc>
      </w:tr>
      <w:tr>
        <w:tc>
          <w:tcPr>
            <w:tcW w:type="pct" w:w="26%"/>
            <w:tcMar>
              <w:top w:type="dxa" w:w="100"/>
              <w:left w:type="dxa" w:w="120"/>
              <w:bottom w:type="dxa" w:w="100"/>
              <w:right w:type="dxa" w:w="120"/>
            </w:tcMar>
            <w:vAlign w:val="center"/>
          </w:tcPr>
          <w:p>
            <w:r>
              <w:rPr>
                <w:sz w:val="20"/>
                <w:szCs w:val="20"/>
              </w:rPr>
              <w:t xml:space="preserve">Point-adjust evaluation metric</w:t>
            </w:r>
          </w:p>
        </w:tc>
        <w:tc>
          <w:tcPr>
            <w:tcW w:type="pct" w:w="32%"/>
            <w:tcMar>
              <w:top w:type="dxa" w:w="100"/>
              <w:left w:type="dxa" w:w="120"/>
              <w:bottom w:type="dxa" w:w="100"/>
              <w:right w:type="dxa" w:w="120"/>
            </w:tcMar>
            <w:vAlign w:val="center"/>
          </w:tcPr>
          <w:p>
            <w:r>
              <w:rPr>
                <w:sz w:val="20"/>
                <w:szCs w:val="20"/>
              </w:rPr>
              <w:t xml:space="preserve">Standard in published IDS benchmarks</w:t>
            </w:r>
          </w:p>
        </w:tc>
        <w:tc>
          <w:tcPr>
            <w:tcW w:type="pct" w:w="42%"/>
            <w:tcMar>
              <w:top w:type="dxa" w:w="100"/>
              <w:left w:type="dxa" w:w="120"/>
              <w:bottom w:type="dxa" w:w="100"/>
              <w:right w:type="dxa" w:w="120"/>
            </w:tcMar>
            <w:vAlign w:val="center"/>
          </w:tcPr>
          <w:p>
            <w:r>
              <w:rPr>
                <w:sz w:val="20"/>
                <w:szCs w:val="20"/>
              </w:rPr>
              <w:t xml:space="preserve">Inflates apparent performance on long attack segments — rejected, at the cost of lower, less flattering numbers. Unchanged.</w:t>
            </w:r>
          </w:p>
        </w:tc>
      </w:tr>
      <w:tr>
        <w:tc>
          <w:tcPr>
            <w:tcW w:type="pct" w:w="26%"/>
            <w:shd w:fill="F5F0E8" w:val="clear"/>
            <w:tcMar>
              <w:top w:type="dxa" w:w="100"/>
              <w:left w:type="dxa" w:w="120"/>
              <w:bottom w:type="dxa" w:w="100"/>
              <w:right w:type="dxa" w:w="120"/>
            </w:tcMar>
            <w:vAlign w:val="center"/>
          </w:tcPr>
          <w:p>
            <w:r>
              <w:rPr>
                <w:sz w:val="20"/>
                <w:szCs w:val="20"/>
              </w:rPr>
              <w:t xml:space="preserve">Kafka / message-queue ingestion pipeline</w:t>
            </w:r>
          </w:p>
        </w:tc>
        <w:tc>
          <w:tcPr>
            <w:tcW w:type="pct" w:w="32%"/>
            <w:shd w:fill="F5F0E8" w:val="clear"/>
            <w:tcMar>
              <w:top w:type="dxa" w:w="100"/>
              <w:left w:type="dxa" w:w="120"/>
              <w:bottom w:type="dxa" w:w="100"/>
              <w:right w:type="dxa" w:w="120"/>
            </w:tcMar>
            <w:vAlign w:val="center"/>
          </w:tcPr>
          <w:p>
            <w:r>
              <w:rPr>
                <w:sz w:val="20"/>
                <w:szCs w:val="20"/>
              </w:rPr>
              <w:t xml:space="preserve">Durable, scalable, multi-consumer event bus</w:t>
            </w:r>
          </w:p>
        </w:tc>
        <w:tc>
          <w:tcPr>
            <w:tcW w:type="pct" w:w="42%"/>
            <w:shd w:fill="F5F0E8" w:val="clear"/>
            <w:tcMar>
              <w:top w:type="dxa" w:w="100"/>
              <w:left w:type="dxa" w:w="120"/>
              <w:bottom w:type="dxa" w:w="100"/>
              <w:right w:type="dxa" w:w="120"/>
            </w:tcMar>
            <w:vAlign w:val="center"/>
          </w:tcPr>
          <w:p>
            <w:r>
              <w:rPr>
                <w:sz w:val="20"/>
                <w:szCs w:val="20"/>
              </w:rPr>
              <w:t xml:space="preserve">Correctly deferred — “zero judged value in an 8-day sprint.” Unchanged.</w:t>
            </w:r>
          </w:p>
        </w:tc>
      </w:tr>
      <w:tr>
        <w:tc>
          <w:tcPr>
            <w:tcW w:type="pct" w:w="26%"/>
            <w:tcMar>
              <w:top w:type="dxa" w:w="100"/>
              <w:left w:type="dxa" w:w="120"/>
              <w:bottom w:type="dxa" w:w="100"/>
              <w:right w:type="dxa" w:w="120"/>
            </w:tcMar>
            <w:vAlign w:val="center"/>
          </w:tcPr>
          <w:p>
            <w:r>
              <w:rPr>
                <w:sz w:val="20"/>
                <w:szCs w:val="20"/>
              </w:rPr>
              <w:t xml:space="preserve">Passive network tap / monitoring-only gateway</w:t>
            </w:r>
          </w:p>
        </w:tc>
        <w:tc>
          <w:tcPr>
            <w:tcW w:type="pct" w:w="32%"/>
            <w:tcMar>
              <w:top w:type="dxa" w:w="100"/>
              <w:left w:type="dxa" w:w="120"/>
              <w:bottom w:type="dxa" w:w="100"/>
              <w:right w:type="dxa" w:w="120"/>
            </w:tcMar>
            <w:vAlign w:val="center"/>
          </w:tcPr>
          <w:p>
            <w:r>
              <w:rPr>
                <w:sz w:val="20"/>
                <w:szCs w:val="20"/>
              </w:rPr>
              <w:t xml:space="preserve">Watch traffic through a chokepoint without structurally forcing it there</w:t>
            </w:r>
          </w:p>
        </w:tc>
        <w:tc>
          <w:tcPr>
            <w:tcW w:type="pct" w:w="42%"/>
            <w:tcMar>
              <w:top w:type="dxa" w:w="100"/>
              <w:left w:type="dxa" w:w="120"/>
              <w:bottom w:type="dxa" w:w="100"/>
              <w:right w:type="dxa" w:w="120"/>
            </w:tcMar>
            <w:vAlign w:val="center"/>
          </w:tcPr>
          <w:p>
            <w:r>
              <w:rPr>
                <w:sz w:val="20"/>
                <w:szCs w:val="20"/>
              </w:rPr>
              <w:t xml:space="preserve">Weaker guarantee — an attacker could route around a passive tap. Unchanged.</w:t>
            </w:r>
          </w:p>
        </w:tc>
      </w:tr>
      <w:tr>
        <w:tc>
          <w:tcPr>
            <w:tcW w:type="pct" w:w="26%"/>
            <w:shd w:fill="F5F0E8" w:val="clear"/>
            <w:tcMar>
              <w:top w:type="dxa" w:w="100"/>
              <w:left w:type="dxa" w:w="120"/>
              <w:bottom w:type="dxa" w:w="100"/>
              <w:right w:type="dxa" w:w="120"/>
            </w:tcMar>
            <w:vAlign w:val="center"/>
          </w:tcPr>
          <w:p>
            <w:r>
              <w:rPr>
                <w:sz w:val="20"/>
                <w:szCs w:val="20"/>
              </w:rPr>
              <w:t xml:space="preserve">NEW — Majority vote for multi-detector fusion</w:t>
            </w:r>
          </w:p>
        </w:tc>
        <w:tc>
          <w:tcPr>
            <w:tcW w:type="pct" w:w="32%"/>
            <w:shd w:fill="F5F0E8" w:val="clear"/>
            <w:tcMar>
              <w:top w:type="dxa" w:w="100"/>
              <w:left w:type="dxa" w:w="120"/>
              <w:bottom w:type="dxa" w:w="100"/>
              <w:right w:type="dxa" w:w="120"/>
            </w:tcMar>
            <w:vAlign w:val="center"/>
          </w:tcPr>
          <w:p>
            <w:r>
              <w:rPr>
                <w:sz w:val="20"/>
                <w:szCs w:val="20"/>
              </w:rPr>
              <w:t xml:space="preserve">Count how many of five detectors fired; alert past a threshold count</w:t>
            </w:r>
          </w:p>
        </w:tc>
        <w:tc>
          <w:tcPr>
            <w:tcW w:type="pct" w:w="42%"/>
            <w:shd w:fill="F5F0E8" w:val="clear"/>
            <w:tcMar>
              <w:top w:type="dxa" w:w="100"/>
              <w:left w:type="dxa" w:w="120"/>
              <w:bottom w:type="dxa" w:w="100"/>
              <w:right w:type="dxa" w:w="120"/>
            </w:tcMar>
            <w:vAlign w:val="center"/>
          </w:tcPr>
          <w:p>
            <w:r>
              <w:rPr>
                <w:sz w:val="20"/>
                <w:szCs w:val="20"/>
              </w:rPr>
              <w:t xml:space="preserve">Throws away confidence and reliability information entirely — a rule matching at 0.9 confidence would count identically to a coin-flip detector firing. Rejected in favor of weighted noisy-OR.</w:t>
            </w:r>
          </w:p>
        </w:tc>
      </w:tr>
      <w:tr>
        <w:tc>
          <w:tcPr>
            <w:tcW w:type="pct" w:w="26%"/>
            <w:tcMar>
              <w:top w:type="dxa" w:w="100"/>
              <w:left w:type="dxa" w:w="120"/>
              <w:bottom w:type="dxa" w:w="100"/>
              <w:right w:type="dxa" w:w="120"/>
            </w:tcMar>
            <w:vAlign w:val="center"/>
          </w:tcPr>
          <w:p>
            <w:r>
              <w:rPr>
                <w:sz w:val="20"/>
                <w:szCs w:val="20"/>
              </w:rPr>
              <w:t xml:space="preserve">NEW — Plain weighted average for multi-detector fusion</w:t>
            </w:r>
          </w:p>
        </w:tc>
        <w:tc>
          <w:tcPr>
            <w:tcW w:type="pct" w:w="32%"/>
            <w:tcMar>
              <w:top w:type="dxa" w:w="100"/>
              <w:left w:type="dxa" w:w="120"/>
              <w:bottom w:type="dxa" w:w="100"/>
              <w:right w:type="dxa" w:w="120"/>
            </w:tcMar>
            <w:vAlign w:val="center"/>
          </w:tcPr>
          <w:p>
            <w:r>
              <w:rPr>
                <w:sz w:val="20"/>
                <w:szCs w:val="20"/>
              </w:rPr>
              <w:t xml:space="preserve">Sum(score_i × weight_i) / Sum(weight_i)</w:t>
            </w:r>
          </w:p>
        </w:tc>
        <w:tc>
          <w:tcPr>
            <w:tcW w:type="pct" w:w="42%"/>
            <w:tcMar>
              <w:top w:type="dxa" w:w="100"/>
              <w:left w:type="dxa" w:w="120"/>
              <w:bottom w:type="dxa" w:w="100"/>
              <w:right w:type="dxa" w:w="120"/>
            </w:tcMar>
            <w:vAlign w:val="center"/>
          </w:tcPr>
          <w:p>
            <w:r>
              <w:rPr>
                <w:sz w:val="20"/>
                <w:szCs w:val="20"/>
              </w:rPr>
              <w:t xml:space="preserve">Lets a quiet, reliable detector's silence mathematically cancel a loud, unreliable one's alarm — the opposite of "more evidence should only ever raise suspicion." Rejected in favor of noisy-OR, which is monotonic by construction.</w:t>
            </w:r>
          </w:p>
        </w:tc>
      </w:tr>
    </w:tbl>
    <w:p>
      <w:pPr>
        <w:pStyle w:val="Heading1"/>
        <w:pBdr>
          <w:bottom w:val="single" w:color="B45309" w:sz="12" w:space="4"/>
        </w:pBdr>
        <w:spacing w:after="200" w:before="480"/>
      </w:pPr>
      <w:r>
        <w:rPr>
          <w:b/>
          <w:bCs/>
          <w:color w:val="B45309"/>
          <w:sz w:val="30"/>
          <w:szCs w:val="30"/>
        </w:rPr>
        <w:t xml:space="preserve">PART 16 — Novelty &amp; Research Depth</w:t>
      </w:r>
    </w:p>
    <w:p>
      <w:pPr>
        <w:pStyle w:val="Heading2"/>
        <w:spacing w:after="120" w:before="320"/>
      </w:pPr>
      <w:r>
        <w:rPr>
          <w:b/>
          <w:bCs/>
          <w:sz w:val="24"/>
          <w:szCs w:val="24"/>
        </w:rPr>
        <w:t xml:space="preserve">Genuinely distinctive</w:t>
      </w:r>
    </w:p>
    <w:p>
      <w:pPr>
        <w:pStyle w:val="ListParagraph"/>
        <w:numPr>
          <w:ilvl w:val="0"/>
          <w:numId w:val="1"/>
        </w:numPr>
        <w:spacing w:after="80" w:line="264"/>
      </w:pPr>
      <w:r>
        <w:t xml:space="preserve">Publishing measured detector failure as a product feature, with exact numbers, rather than hiding it — now including the signature engine's own 20.0%→0.56% false-positive journey, published rather than quietly fixed and forgotten.</w:t>
      </w:r>
    </w:p>
    <w:p>
      <w:pPr>
        <w:pStyle w:val="ListParagraph"/>
        <w:numPr>
          <w:ilvl w:val="0"/>
          <w:numId w:val="1"/>
        </w:numPr>
        <w:spacing w:after="80" w:line="264"/>
      </w:pPr>
      <w:r>
        <w:t xml:space="preserve">Structural (not policy) gateway enforcement via graph rewriting — unchanged.</w:t>
      </w:r>
    </w:p>
    <w:p>
      <w:pPr>
        <w:pStyle w:val="ListParagraph"/>
        <w:numPr>
          <w:ilvl w:val="0"/>
          <w:numId w:val="1"/>
        </w:numPr>
        <w:spacing w:after="80" w:line="264"/>
      </w:pPr>
      <w:r>
        <w:t xml:space="preserve">Rejecting point-adjust scoring with a cited justification — unchanged.</w:t>
      </w:r>
    </w:p>
    <w:p>
      <w:pPr>
        <w:pStyle w:val="ListParagraph"/>
        <w:numPr>
          <w:ilvl w:val="0"/>
          <w:numId w:val="1"/>
        </w:numPr>
        <w:spacing w:after="80" w:line="264"/>
      </w:pPr>
      <w:r>
        <w:t xml:space="preserve">CII as a genuine statistical distribution from real Monte Carlo sampling — unchanged, now with a correctly-implemented correlated-failure branch.</w:t>
      </w:r>
    </w:p>
    <w:p>
      <w:pPr>
        <w:pStyle w:val="ListParagraph"/>
        <w:numPr>
          <w:ilvl w:val="0"/>
          <w:numId w:val="1"/>
        </w:numPr>
        <w:spacing w:after="80" w:line="264"/>
      </w:pPr>
      <w:r>
        <w:t xml:space="preserve">NEW — Certainty-typed evidence fusion: a confirmed, zero-false-positive signal is structurally immune to dilution by weak evidence, not just tuned to usually win.</w:t>
      </w:r>
    </w:p>
    <w:p>
      <w:pPr>
        <w:pStyle w:val="Heading2"/>
        <w:spacing w:after="120" w:before="320"/>
      </w:pPr>
      <w:r>
        <w:rPr>
          <w:b/>
          <w:bCs/>
          <w:sz w:val="24"/>
          <w:szCs w:val="24"/>
        </w:rPr>
        <w:t xml:space="preserve">Engineering integration, not research novelty</w:t>
      </w:r>
    </w:p>
    <w:p>
      <w:pPr>
        <w:pStyle w:val="ListParagraph"/>
        <w:numPr>
          <w:ilvl w:val="0"/>
          <w:numId w:val="1"/>
        </w:numPr>
        <w:spacing w:after="80" w:line="264"/>
      </w:pPr>
      <w:r>
        <w:t xml:space="preserve">Isolation Forest, Random Forest, Z-Score/MAD — all off-the-shelf. Unchanged.</w:t>
      </w:r>
    </w:p>
    <w:p>
      <w:pPr>
        <w:pStyle w:val="ListParagraph"/>
        <w:numPr>
          <w:ilvl w:val="0"/>
          <w:numId w:val="1"/>
        </w:numPr>
        <w:spacing w:after="80" w:line="264"/>
      </w:pPr>
      <w:r>
        <w:t xml:space="preserve">NetworkX BFS simulation — standard technique, competently applied. Unchanged.</w:t>
      </w:r>
    </w:p>
    <w:p>
      <w:pPr>
        <w:pStyle w:val="ListParagraph"/>
        <w:numPr>
          <w:ilvl w:val="0"/>
          <w:numId w:val="1"/>
        </w:numPr>
        <w:spacing w:after="80" w:line="264"/>
      </w:pPr>
      <w:r>
        <w:t xml:space="preserve">NEW — Weighted noisy-OR fusion is a standard combinator for independent evidence bearing on one hypothesis (textbook Bayesian-inspired heuristic), not a new algorithm — say this plainly.</w:t>
      </w:r>
    </w:p>
    <w:p>
      <w:pPr>
        <w:pStyle w:val="ListParagraph"/>
        <w:numPr>
          <w:ilvl w:val="0"/>
          <w:numId w:val="1"/>
        </w:numPr>
        <w:spacing w:after="80" w:line="264"/>
      </w:pPr>
      <w:r>
        <w:t xml:space="preserve">Honeytoken/canary tokens — a known, established security practice. Unchanged.</w:t>
      </w:r>
    </w:p>
    <w:p>
      <w:pPr>
        <w:spacing w:after="140" w:line="276"/>
      </w:pPr>
      <w:r>
        <w:t xml:space="preserve">What a technical judge would challenge as “just combining existing technologies”: almost the entire stack, correctly, now including the fusion layer's own math. The defensible response, unchanged in spirit: the contribution is the evaluation methodology and the honesty discipline — measuring and publishing where each of five detectors fails, and building the fusion precedence rule specifically because that measurement showed averaging would be actively harmful, not because averaging is the obvious default. That is a legitimate framing of “what we contributed” that does not require pretending the underlying algorithms are new.</w:t>
      </w:r>
    </w:p>
    <w:p>
      <w:pPr>
        <w:pStyle w:val="Heading1"/>
        <w:pBdr>
          <w:bottom w:val="single" w:color="B45309" w:sz="12" w:space="4"/>
        </w:pBdr>
        <w:spacing w:after="200" w:before="480"/>
      </w:pPr>
      <w:r>
        <w:rPr>
          <w:b/>
          <w:bCs/>
          <w:color w:val="B45309"/>
          <w:sz w:val="30"/>
          <w:szCs w:val="30"/>
        </w:rPr>
        <w:t xml:space="preserve">PART 17 — Gap Analysis</w:t>
      </w:r>
    </w:p>
    <w:p>
      <w:pPr>
        <w:spacing w:after="140" w:line="276"/>
      </w:pPr>
      <w:r>
        <w:rPr>
          <w:b/>
          <w:bCs/>
        </w:rPr>
        <w:t xml:space="preserve">Substantially rewritten.</w:t>
      </w:r>
      <w:r>
        <w:t xml:space="preserve"> Every CRITICAL item from the first edition is resolved. New MEDIUM items reflect the Hybrid IDS's own honest, stated limitations.</w:t>
      </w:r>
    </w:p>
    <w:tbl>
      <w:tblPr>
        <w:tblW w:type="pct" w:w="100%"/>
        <w:tblBorders>
          <w:top w:val="single" w:color="D8CBB0" w:sz="4"/>
          <w:left w:val="single" w:color="D8CBB0" w:sz="4"/>
          <w:bottom w:val="single" w:color="D8CBB0" w:sz="4"/>
          <w:right w:val="single" w:color="D8CBB0" w:sz="4"/>
          <w:insideH w:val="single" w:color="D8CBB0" w:sz="4"/>
          <w:insideV w:val="single" w:color="D8CBB0" w:sz="4"/>
        </w:tblBorders>
      </w:tblPr>
      <w:tblGrid>
        <w:gridCol w:w="100"/>
        <w:gridCol w:w="100"/>
        <w:gridCol w:w="100"/>
      </w:tblGrid>
      <w:tr>
        <w:trPr>
          <w:tblHeader/>
        </w:trPr>
        <w:tc>
          <w:tcPr>
            <w:tcW w:type="pct" w:w="12%"/>
            <w:shd w:fill="1C1917" w:val="clear"/>
            <w:tcMar>
              <w:top w:type="dxa" w:w="100"/>
              <w:left w:type="dxa" w:w="120"/>
              <w:bottom w:type="dxa" w:w="100"/>
              <w:right w:type="dxa" w:w="120"/>
            </w:tcMar>
            <w:vAlign w:val="center"/>
          </w:tcPr>
          <w:p>
            <w:r>
              <w:rPr>
                <w:b/>
                <w:bCs/>
                <w:color w:val="FFFFFF"/>
                <w:sz w:val="19"/>
                <w:szCs w:val="19"/>
              </w:rPr>
              <w:t xml:space="preserve">Priority</w:t>
            </w:r>
          </w:p>
        </w:tc>
        <w:tc>
          <w:tcPr>
            <w:tcW w:type="pct" w:w="52%"/>
            <w:shd w:fill="1C1917" w:val="clear"/>
            <w:tcMar>
              <w:top w:type="dxa" w:w="100"/>
              <w:left w:type="dxa" w:w="120"/>
              <w:bottom w:type="dxa" w:w="100"/>
              <w:right w:type="dxa" w:w="120"/>
            </w:tcMar>
            <w:vAlign w:val="center"/>
          </w:tcPr>
          <w:p>
            <w:r>
              <w:rPr>
                <w:b/>
                <w:bCs/>
                <w:color w:val="FFFFFF"/>
                <w:sz w:val="19"/>
                <w:szCs w:val="19"/>
              </w:rPr>
              <w:t xml:space="preserve">Gap</w:t>
            </w:r>
          </w:p>
        </w:tc>
        <w:tc>
          <w:tcPr>
            <w:tcW w:type="pct" w:w="36%"/>
            <w:shd w:fill="1C1917" w:val="clear"/>
            <w:tcMar>
              <w:top w:type="dxa" w:w="100"/>
              <w:left w:type="dxa" w:w="120"/>
              <w:bottom w:type="dxa" w:w="100"/>
              <w:right w:type="dxa" w:w="120"/>
            </w:tcMar>
            <w:vAlign w:val="center"/>
          </w:tcPr>
          <w:p>
            <w:r>
              <w:rPr>
                <w:b/>
                <w:bCs/>
                <w:color w:val="FFFFFF"/>
                <w:sz w:val="19"/>
                <w:szCs w:val="19"/>
              </w:rPr>
              <w:t xml:space="preserve">Status</w:t>
            </w:r>
          </w:p>
        </w:tc>
      </w:tr>
      <w:tr>
        <w:tc>
          <w:tcPr>
            <w:tcW w:type="pct" w:w="12%"/>
            <w:tcMar>
              <w:top w:type="dxa" w:w="100"/>
              <w:left w:type="dxa" w:w="120"/>
              <w:bottom w:type="dxa" w:w="100"/>
              <w:right w:type="dxa" w:w="120"/>
            </w:tcMar>
            <w:vAlign w:val="center"/>
          </w:tcPr>
          <w:p>
            <w:r>
              <w:rPr>
                <w:sz w:val="20"/>
                <w:szCs w:val="20"/>
              </w:rPr>
              <w:t xml:space="preserve">RESOLVED</w:t>
            </w:r>
          </w:p>
        </w:tc>
        <w:tc>
          <w:tcPr>
            <w:tcW w:type="pct" w:w="52%"/>
            <w:tcMar>
              <w:top w:type="dxa" w:w="100"/>
              <w:left w:type="dxa" w:w="120"/>
              <w:bottom w:type="dxa" w:w="100"/>
              <w:right w:type="dxa" w:w="120"/>
            </w:tcMar>
            <w:vAlign w:val="center"/>
          </w:tcPr>
          <w:p>
            <w:r>
              <w:rPr>
                <w:sz w:val="20"/>
                <w:szCs w:val="20"/>
              </w:rPr>
              <w:t xml:space="preserve">Speed selector and Inject button not wired</w:t>
            </w:r>
          </w:p>
        </w:tc>
        <w:tc>
          <w:tcPr>
            <w:tcW w:type="pct" w:w="36%"/>
            <w:tcMar>
              <w:top w:type="dxa" w:w="100"/>
              <w:left w:type="dxa" w:w="120"/>
              <w:bottom w:type="dxa" w:w="100"/>
              <w:right w:type="dxa" w:w="120"/>
            </w:tcMar>
            <w:vAlign w:val="center"/>
          </w:tcPr>
          <w:p>
            <w:r>
              <w:rPr>
                <w:sz w:val="20"/>
                <w:szCs w:val="20"/>
              </w:rPr>
              <w:t xml:space="preserve">Fixed. Both call the real API live.</w:t>
            </w:r>
          </w:p>
        </w:tc>
      </w:tr>
      <w:tr>
        <w:tc>
          <w:tcPr>
            <w:tcW w:type="pct" w:w="12%"/>
            <w:shd w:fill="F5F0E8" w:val="clear"/>
            <w:tcMar>
              <w:top w:type="dxa" w:w="100"/>
              <w:left w:type="dxa" w:w="120"/>
              <w:bottom w:type="dxa" w:w="100"/>
              <w:right w:type="dxa" w:w="120"/>
            </w:tcMar>
            <w:vAlign w:val="center"/>
          </w:tcPr>
          <w:p>
            <w:r>
              <w:rPr>
                <w:sz w:val="20"/>
                <w:szCs w:val="20"/>
              </w:rPr>
              <w:t xml:space="preserve">RESOLVED</w:t>
            </w:r>
          </w:p>
        </w:tc>
        <w:tc>
          <w:tcPr>
            <w:tcW w:type="pct" w:w="52%"/>
            <w:shd w:fill="F5F0E8" w:val="clear"/>
            <w:tcMar>
              <w:top w:type="dxa" w:w="100"/>
              <w:left w:type="dxa" w:w="120"/>
              <w:bottom w:type="dxa" w:w="100"/>
              <w:right w:type="dxa" w:w="120"/>
            </w:tcMar>
            <w:vAlign w:val="center"/>
          </w:tcPr>
          <w:p>
            <w:r>
              <w:rPr>
                <w:sz w:val="20"/>
                <w:szCs w:val="20"/>
              </w:rPr>
              <w:t xml:space="preserve">Zero authentication on every route</w:t>
            </w:r>
          </w:p>
        </w:tc>
        <w:tc>
          <w:tcPr>
            <w:tcW w:type="pct" w:w="36%"/>
            <w:shd w:fill="F5F0E8" w:val="clear"/>
            <w:tcMar>
              <w:top w:type="dxa" w:w="100"/>
              <w:left w:type="dxa" w:w="120"/>
              <w:bottom w:type="dxa" w:w="100"/>
              <w:right w:type="dxa" w:w="120"/>
            </w:tcMar>
            <w:vAlign w:val="center"/>
          </w:tcPr>
          <w:p>
            <w:r>
              <w:rPr>
                <w:sz w:val="20"/>
                <w:szCs w:val="20"/>
              </w:rPr>
              <w:t xml:space="preserve">Optional bearer-token auth + rate limiting now exist on every mutating route (off by default — see Part 11 for the honest residual posture).</w:t>
            </w:r>
          </w:p>
        </w:tc>
      </w:tr>
      <w:tr>
        <w:tc>
          <w:tcPr>
            <w:tcW w:type="pct" w:w="12%"/>
            <w:tcMar>
              <w:top w:type="dxa" w:w="100"/>
              <w:left w:type="dxa" w:w="120"/>
              <w:bottom w:type="dxa" w:w="100"/>
              <w:right w:type="dxa" w:w="120"/>
            </w:tcMar>
            <w:vAlign w:val="center"/>
          </w:tcPr>
          <w:p>
            <w:r>
              <w:rPr>
                <w:sz w:val="20"/>
                <w:szCs w:val="20"/>
              </w:rPr>
              <w:t xml:space="preserve">RESOLVED</w:t>
            </w:r>
          </w:p>
        </w:tc>
        <w:tc>
          <w:tcPr>
            <w:tcW w:type="pct" w:w="52%"/>
            <w:tcMar>
              <w:top w:type="dxa" w:w="100"/>
              <w:left w:type="dxa" w:w="120"/>
              <w:bottom w:type="dxa" w:w="100"/>
              <w:right w:type="dxa" w:w="120"/>
            </w:tcMar>
            <w:vAlign w:val="center"/>
          </w:tcPr>
          <w:p>
            <w:r>
              <w:rPr>
                <w:sz w:val="20"/>
                <w:szCs w:val="20"/>
              </w:rPr>
              <w:t xml:space="preserve">“Three channels, reported side by side” read as an overclaim</w:t>
            </w:r>
          </w:p>
        </w:tc>
        <w:tc>
          <w:tcPr>
            <w:tcW w:type="pct" w:w="36%"/>
            <w:tcMar>
              <w:top w:type="dxa" w:w="100"/>
              <w:left w:type="dxa" w:w="120"/>
              <w:bottom w:type="dxa" w:w="100"/>
              <w:right w:type="dxa" w:w="120"/>
            </w:tcMar>
            <w:vAlign w:val="center"/>
          </w:tcPr>
          <w:p>
            <w:r>
              <w:rPr>
                <w:sz w:val="20"/>
                <w:szCs w:val="20"/>
              </w:rPr>
              <w:t xml:space="preserve">Superseded by a sharper version of the same risk — see the new HIGH item below.</w:t>
            </w:r>
          </w:p>
        </w:tc>
      </w:tr>
      <w:tr>
        <w:tc>
          <w:tcPr>
            <w:tcW w:type="pct" w:w="12%"/>
            <w:shd w:fill="F5F0E8" w:val="clear"/>
            <w:tcMar>
              <w:top w:type="dxa" w:w="100"/>
              <w:left w:type="dxa" w:w="120"/>
              <w:bottom w:type="dxa" w:w="100"/>
              <w:right w:type="dxa" w:w="120"/>
            </w:tcMar>
            <w:vAlign w:val="center"/>
          </w:tcPr>
          <w:p>
            <w:r>
              <w:rPr>
                <w:sz w:val="20"/>
                <w:szCs w:val="20"/>
              </w:rPr>
              <w:t xml:space="preserve">RESOLVED</w:t>
            </w:r>
          </w:p>
        </w:tc>
        <w:tc>
          <w:tcPr>
            <w:tcW w:type="pct" w:w="52%"/>
            <w:shd w:fill="F5F0E8" w:val="clear"/>
            <w:tcMar>
              <w:top w:type="dxa" w:w="100"/>
              <w:left w:type="dxa" w:w="120"/>
              <w:bottom w:type="dxa" w:w="100"/>
              <w:right w:type="dxa" w:w="120"/>
            </w:tcMar>
            <w:vAlign w:val="center"/>
          </w:tcPr>
          <w:p>
            <w:r>
              <w:rPr>
                <w:sz w:val="20"/>
                <w:szCs w:val="20"/>
              </w:rPr>
              <w:t xml:space="preserve">Mild train/eval leakage via full-dataset StandardScaler fit</w:t>
            </w:r>
          </w:p>
        </w:tc>
        <w:tc>
          <w:tcPr>
            <w:tcW w:type="pct" w:w="36%"/>
            <w:shd w:fill="F5F0E8" w:val="clear"/>
            <w:tcMar>
              <w:top w:type="dxa" w:w="100"/>
              <w:left w:type="dxa" w:w="120"/>
              <w:bottom w:type="dxa" w:w="100"/>
              <w:right w:type="dxa" w:w="120"/>
            </w:tcMar>
            <w:vAlign w:val="center"/>
          </w:tcPr>
          <w:p>
            <w:r>
              <w:rPr>
                <w:sz w:val="20"/>
                <w:szCs w:val="20"/>
              </w:rPr>
              <w:t xml:space="preserve">Fixed; benchmarks re-measured.</w:t>
            </w:r>
          </w:p>
        </w:tc>
      </w:tr>
      <w:tr>
        <w:tc>
          <w:tcPr>
            <w:tcW w:type="pct" w:w="12%"/>
            <w:tcMar>
              <w:top w:type="dxa" w:w="100"/>
              <w:left w:type="dxa" w:w="120"/>
              <w:bottom w:type="dxa" w:w="100"/>
              <w:right w:type="dxa" w:w="120"/>
            </w:tcMar>
            <w:vAlign w:val="center"/>
          </w:tcPr>
          <w:p>
            <w:r>
              <w:rPr>
                <w:sz w:val="20"/>
                <w:szCs w:val="20"/>
              </w:rPr>
              <w:t xml:space="preserve">RESOLVED</w:t>
            </w:r>
          </w:p>
        </w:tc>
        <w:tc>
          <w:tcPr>
            <w:tcW w:type="pct" w:w="52%"/>
            <w:tcMar>
              <w:top w:type="dxa" w:w="100"/>
              <w:left w:type="dxa" w:w="120"/>
              <w:bottom w:type="dxa" w:w="100"/>
              <w:right w:type="dxa" w:w="120"/>
            </w:tcMar>
            <w:vAlign w:val="center"/>
          </w:tcPr>
          <w:p>
            <w:r>
              <w:rPr>
                <w:sz w:val="20"/>
                <w:szCs w:val="20"/>
              </w:rPr>
              <w:t xml:space="preserve">shares_provider correlated-failure semantics documented but not implemented</w:t>
            </w:r>
          </w:p>
        </w:tc>
        <w:tc>
          <w:tcPr>
            <w:tcW w:type="pct" w:w="36%"/>
            <w:tcMar>
              <w:top w:type="dxa" w:w="100"/>
              <w:left w:type="dxa" w:w="120"/>
              <w:bottom w:type="dxa" w:w="100"/>
              <w:right w:type="dxa" w:w="120"/>
            </w:tcMar>
            <w:vAlign w:val="center"/>
          </w:tcPr>
          <w:p>
            <w:r>
              <w:rPr>
                <w:sz w:val="20"/>
                <w:szCs w:val="20"/>
              </w:rPr>
              <w:t xml:space="preserve">Fixed; no production edge currently uses this type, so no published number changed.</w:t>
            </w:r>
          </w:p>
        </w:tc>
      </w:tr>
      <w:tr>
        <w:tc>
          <w:tcPr>
            <w:tcW w:type="pct" w:w="12%"/>
            <w:shd w:fill="F5F0E8" w:val="clear"/>
            <w:tcMar>
              <w:top w:type="dxa" w:w="100"/>
              <w:left w:type="dxa" w:w="120"/>
              <w:bottom w:type="dxa" w:w="100"/>
              <w:right w:type="dxa" w:w="120"/>
            </w:tcMar>
            <w:vAlign w:val="center"/>
          </w:tcPr>
          <w:p>
            <w:r>
              <w:rPr>
                <w:sz w:val="20"/>
                <w:szCs w:val="20"/>
              </w:rPr>
              <w:t xml:space="preserve">RESOLVED</w:t>
            </w:r>
          </w:p>
        </w:tc>
        <w:tc>
          <w:tcPr>
            <w:tcW w:type="pct" w:w="52%"/>
            <w:shd w:fill="F5F0E8" w:val="clear"/>
            <w:tcMar>
              <w:top w:type="dxa" w:w="100"/>
              <w:left w:type="dxa" w:w="120"/>
              <w:bottom w:type="dxa" w:w="100"/>
              <w:right w:type="dxa" w:w="120"/>
            </w:tcMar>
            <w:vAlign w:val="center"/>
          </w:tcPr>
          <w:p>
            <w:r>
              <w:rPr>
                <w:sz w:val="20"/>
                <w:szCs w:val="20"/>
              </w:rPr>
              <w:t xml:space="preserve">No time-based event retention policy</w:t>
            </w:r>
          </w:p>
        </w:tc>
        <w:tc>
          <w:tcPr>
            <w:tcW w:type="pct" w:w="36%"/>
            <w:shd w:fill="F5F0E8" w:val="clear"/>
            <w:tcMar>
              <w:top w:type="dxa" w:w="100"/>
              <w:left w:type="dxa" w:w="120"/>
              <w:bottom w:type="dxa" w:w="100"/>
              <w:right w:type="dxa" w:w="120"/>
            </w:tcMar>
            <w:vAlign w:val="center"/>
          </w:tcPr>
          <w:p>
            <w:r>
              <w:rPr>
                <w:sz w:val="20"/>
                <w:szCs w:val="20"/>
              </w:rPr>
              <w:t xml:space="preserve">Added, optional, off by default.</w:t>
            </w:r>
          </w:p>
        </w:tc>
      </w:tr>
      <w:tr>
        <w:tc>
          <w:tcPr>
            <w:tcW w:type="pct" w:w="12%"/>
            <w:tcMar>
              <w:top w:type="dxa" w:w="100"/>
              <w:left w:type="dxa" w:w="120"/>
              <w:bottom w:type="dxa" w:w="100"/>
              <w:right w:type="dxa" w:w="120"/>
            </w:tcMar>
            <w:vAlign w:val="center"/>
          </w:tcPr>
          <w:p>
            <w:r>
              <w:rPr>
                <w:sz w:val="20"/>
                <w:szCs w:val="20"/>
              </w:rPr>
              <w:t xml:space="preserve">RESOLVED (found and fixed within this pass, not carried from the first edition)</w:t>
            </w:r>
          </w:p>
        </w:tc>
        <w:tc>
          <w:tcPr>
            <w:tcW w:type="pct" w:w="52%"/>
            <w:tcMar>
              <w:top w:type="dxa" w:w="100"/>
              <w:left w:type="dxa" w:w="120"/>
              <w:bottom w:type="dxa" w:w="100"/>
              <w:right w:type="dxa" w:w="120"/>
            </w:tcMar>
            <w:vAlign w:val="center"/>
          </w:tcPr>
          <w:p>
            <w:r>
              <w:rPr>
                <w:sz w:val="20"/>
                <w:szCs w:val="20"/>
              </w:rPr>
              <w:t xml:space="preserve">Compact graph view silently omitted the 4 gateway nodes + City_Grid, and every cascade edge touching them, even with every real sector expanded by hand</w:t>
            </w:r>
          </w:p>
        </w:tc>
        <w:tc>
          <w:tcPr>
            <w:tcW w:type="pct" w:w="36%"/>
            <w:tcMar>
              <w:top w:type="dxa" w:w="100"/>
              <w:left w:type="dxa" w:w="120"/>
              <w:bottom w:type="dxa" w:w="100"/>
              <w:right w:type="dxa" w:w="120"/>
            </w:tcMar>
            <w:vAlign w:val="center"/>
          </w:tcPr>
          <w:p>
            <w:r>
              <w:rPr>
                <w:sz w:val="20"/>
                <w:szCs w:val="20"/>
              </w:rPr>
              <w:t xml:space="preserve">Fixed; verified live against a real 21-asset cascade routing through 3 gateways.</w:t>
            </w:r>
          </w:p>
        </w:tc>
      </w:tr>
      <w:tr>
        <w:tc>
          <w:tcPr>
            <w:tcW w:type="pct" w:w="12%"/>
            <w:shd w:fill="F5F0E8" w:val="clear"/>
            <w:tcMar>
              <w:top w:type="dxa" w:w="100"/>
              <w:left w:type="dxa" w:w="120"/>
              <w:bottom w:type="dxa" w:w="100"/>
              <w:right w:type="dxa" w:w="120"/>
            </w:tcMar>
            <w:vAlign w:val="center"/>
          </w:tcPr>
          <w:p>
            <w:r>
              <w:rPr>
                <w:sz w:val="20"/>
                <w:szCs w:val="20"/>
              </w:rPr>
              <w:t xml:space="preserve">RESOLVED (found and fixed within this pass)</w:t>
            </w:r>
          </w:p>
        </w:tc>
        <w:tc>
          <w:tcPr>
            <w:tcW w:type="pct" w:w="52%"/>
            <w:shd w:fill="F5F0E8" w:val="clear"/>
            <w:tcMar>
              <w:top w:type="dxa" w:w="100"/>
              <w:left w:type="dxa" w:w="120"/>
              <w:bottom w:type="dxa" w:w="100"/>
              <w:right w:type="dxa" w:w="120"/>
            </w:tcMar>
            <w:vAlign w:val="center"/>
          </w:tcPr>
          <w:p>
            <w:r>
              <w:rPr>
                <w:sz w:val="20"/>
                <w:szCs w:val="20"/>
              </w:rPr>
              <w:t xml:space="preserve">A debounced repeat compromise computed a fresh CII blast radius but never broadcast it — the live graph froze</w:t>
            </w:r>
          </w:p>
        </w:tc>
        <w:tc>
          <w:tcPr>
            <w:tcW w:type="pct" w:w="36%"/>
            <w:shd w:fill="F5F0E8" w:val="clear"/>
            <w:tcMar>
              <w:top w:type="dxa" w:w="100"/>
              <w:left w:type="dxa" w:w="120"/>
              <w:bottom w:type="dxa" w:w="100"/>
              <w:right w:type="dxa" w:w="120"/>
            </w:tcMar>
            <w:vAlign w:val="center"/>
          </w:tcPr>
          <w:p>
            <w:r>
              <w:rPr>
                <w:sz w:val="20"/>
                <w:szCs w:val="20"/>
              </w:rPr>
              <w:t xml:space="preserve">Fixed; verified live via a captured WebSocket frame count (30 cii frames on the second, debounced injection; would have been 0 before the fix).</w:t>
            </w:r>
          </w:p>
        </w:tc>
      </w:tr>
      <w:tr>
        <w:tc>
          <w:tcPr>
            <w:tcW w:type="pct" w:w="12%"/>
            <w:tcMar>
              <w:top w:type="dxa" w:w="100"/>
              <w:left w:type="dxa" w:w="120"/>
              <w:bottom w:type="dxa" w:w="100"/>
              <w:right w:type="dxa" w:w="120"/>
            </w:tcMar>
            <w:vAlign w:val="center"/>
          </w:tcPr>
          <w:p>
            <w:r>
              <w:rPr>
                <w:sz w:val="20"/>
                <w:szCs w:val="20"/>
              </w:rPr>
              <w:t xml:space="preserve">HIGH</w:t>
            </w:r>
          </w:p>
        </w:tc>
        <w:tc>
          <w:tcPr>
            <w:tcW w:type="pct" w:w="52%"/>
            <w:tcMar>
              <w:top w:type="dxa" w:w="100"/>
              <w:left w:type="dxa" w:w="120"/>
              <w:bottom w:type="dxa" w:w="100"/>
              <w:right w:type="dxa" w:w="120"/>
            </w:tcMar>
            <w:vAlign w:val="center"/>
          </w:tcPr>
          <w:p>
            <w:r>
              <w:rPr>
                <w:sz w:val="20"/>
                <w:szCs w:val="20"/>
              </w:rPr>
              <w:t xml:space="preserve">The signature engine matches on flow metadata only, not payloads — it can be evaded by any attack shaped like ordinary traffic on a standard port</w:t>
            </w:r>
          </w:p>
        </w:tc>
        <w:tc>
          <w:tcPr>
            <w:tcW w:type="pct" w:w="36%"/>
            <w:tcMar>
              <w:top w:type="dxa" w:w="100"/>
              <w:left w:type="dxa" w:w="120"/>
              <w:bottom w:type="dxa" w:w="100"/>
              <w:right w:type="dxa" w:w="120"/>
            </w:tcMar>
            <w:vAlign w:val="center"/>
          </w:tcPr>
          <w:p>
            <w:r>
              <w:rPr>
                <w:sz w:val="20"/>
                <w:szCs w:val="20"/>
              </w:rPr>
              <w:t xml:space="preserve">Stated honestly in the engine's own module docstring; not a defect, a scope limit inherent to the dataset (CIC-IDS2017 has no payloads)</w:t>
            </w:r>
          </w:p>
        </w:tc>
      </w:tr>
      <w:tr>
        <w:tc>
          <w:tcPr>
            <w:tcW w:type="pct" w:w="12%"/>
            <w:shd w:fill="F5F0E8" w:val="clear"/>
            <w:tcMar>
              <w:top w:type="dxa" w:w="100"/>
              <w:left w:type="dxa" w:w="120"/>
              <w:bottom w:type="dxa" w:w="100"/>
              <w:right w:type="dxa" w:w="120"/>
            </w:tcMar>
            <w:vAlign w:val="center"/>
          </w:tcPr>
          <w:p>
            <w:r>
              <w:rPr>
                <w:sz w:val="20"/>
                <w:szCs w:val="20"/>
              </w:rPr>
              <w:t xml:space="preserve">HIGH</w:t>
            </w:r>
          </w:p>
        </w:tc>
        <w:tc>
          <w:tcPr>
            <w:tcW w:type="pct" w:w="52%"/>
            <w:shd w:fill="F5F0E8" w:val="clear"/>
            <w:tcMar>
              <w:top w:type="dxa" w:w="100"/>
              <w:left w:type="dxa" w:w="120"/>
              <w:bottom w:type="dxa" w:w="100"/>
              <w:right w:type="dxa" w:w="120"/>
            </w:tcMar>
            <w:vAlign w:val="center"/>
          </w:tcPr>
          <w:p>
            <w:r>
              <w:rPr>
                <w:sz w:val="20"/>
                <w:szCs w:val="20"/>
              </w:rPr>
              <w:t xml:space="preserve">“Five detection channels, correlated by fusion” could read as “five channels all creating alerts” — they don't</w:t>
            </w:r>
          </w:p>
        </w:tc>
        <w:tc>
          <w:tcPr>
            <w:tcW w:type="pct" w:w="36%"/>
            <w:shd w:fill="F5F0E8" w:val="clear"/>
            <w:tcMar>
              <w:top w:type="dxa" w:w="100"/>
              <w:left w:type="dxa" w:w="120"/>
              <w:bottom w:type="dxa" w:w="100"/>
              <w:right w:type="dxa" w:w="120"/>
            </w:tcMar>
            <w:vAlign w:val="center"/>
          </w:tcPr>
          <w:p>
            <w:r>
              <w:rPr>
                <w:sz w:val="20"/>
                <w:szCs w:val="20"/>
              </w:rPr>
              <w:t xml:space="preserve">The sharper version of the first edition's overclaim risk. Pre-empt it: name exactly which channels can page an operator today (Part 7).</w:t>
            </w:r>
          </w:p>
        </w:tc>
      </w:tr>
      <w:tr>
        <w:tc>
          <w:tcPr>
            <w:tcW w:type="pct" w:w="12%"/>
            <w:tcMar>
              <w:top w:type="dxa" w:w="100"/>
              <w:left w:type="dxa" w:w="120"/>
              <w:bottom w:type="dxa" w:w="100"/>
              <w:right w:type="dxa" w:w="120"/>
            </w:tcMar>
            <w:vAlign w:val="center"/>
          </w:tcPr>
          <w:p>
            <w:r>
              <w:rPr>
                <w:sz w:val="20"/>
                <w:szCs w:val="20"/>
              </w:rPr>
              <w:t xml:space="preserve">MEDIUM</w:t>
            </w:r>
          </w:p>
        </w:tc>
        <w:tc>
          <w:tcPr>
            <w:tcW w:type="pct" w:w="52%"/>
            <w:tcMar>
              <w:top w:type="dxa" w:w="100"/>
              <w:left w:type="dxa" w:w="120"/>
              <w:bottom w:type="dxa" w:w="100"/>
              <w:right w:type="dxa" w:w="120"/>
            </w:tcMar>
            <w:vAlign w:val="center"/>
          </w:tcPr>
          <w:p>
            <w:r>
              <w:rPr>
                <w:sz w:val="20"/>
                <w:szCs w:val="20"/>
              </w:rPr>
              <w:t xml:space="preserve">hybrid_gates_alerts defaults False — the new layer cannot demonstrate paging an operator live</w:t>
            </w:r>
          </w:p>
        </w:tc>
        <w:tc>
          <w:tcPr>
            <w:tcW w:type="pct" w:w="36%"/>
            <w:tcMar>
              <w:top w:type="dxa" w:w="100"/>
              <w:left w:type="dxa" w:w="120"/>
              <w:bottom w:type="dxa" w:w="100"/>
              <w:right w:type="dxa" w:w="120"/>
            </w:tcMar>
            <w:vAlign w:val="center"/>
          </w:tcPr>
          <w:p>
            <w:r>
              <w:rPr>
                <w:sz w:val="20"/>
                <w:szCs w:val="20"/>
              </w:rPr>
              <w:t xml:space="preserve">Deliberate, stated posture, not an oversight — but know it before a judge asks you to prove it live</w:t>
            </w:r>
          </w:p>
        </w:tc>
      </w:tr>
      <w:tr>
        <w:tc>
          <w:tcPr>
            <w:tcW w:type="pct" w:w="12%"/>
            <w:shd w:fill="F5F0E8" w:val="clear"/>
            <w:tcMar>
              <w:top w:type="dxa" w:w="100"/>
              <w:left w:type="dxa" w:w="120"/>
              <w:bottom w:type="dxa" w:w="100"/>
              <w:right w:type="dxa" w:w="120"/>
            </w:tcMar>
            <w:vAlign w:val="center"/>
          </w:tcPr>
          <w:p>
            <w:r>
              <w:rPr>
                <w:sz w:val="20"/>
                <w:szCs w:val="20"/>
              </w:rPr>
              <w:t xml:space="preserve">MEDIUM</w:t>
            </w:r>
          </w:p>
        </w:tc>
        <w:tc>
          <w:tcPr>
            <w:tcW w:type="pct" w:w="52%"/>
            <w:shd w:fill="F5F0E8" w:val="clear"/>
            <w:tcMar>
              <w:top w:type="dxa" w:w="100"/>
              <w:left w:type="dxa" w:w="120"/>
              <w:bottom w:type="dxa" w:w="100"/>
              <w:right w:type="dxa" w:w="120"/>
            </w:tcMar>
            <w:vAlign w:val="center"/>
          </w:tcPr>
          <w:p>
            <w:r>
              <w:rPr>
                <w:sz w:val="20"/>
                <w:szCs w:val="20"/>
              </w:rPr>
              <w:t xml:space="preserve">Beaconing detector's reliability weight (0.50) is an explicitly unmeasured placeholder, not a fit calibration</w:t>
            </w:r>
          </w:p>
        </w:tc>
        <w:tc>
          <w:tcPr>
            <w:tcW w:type="pct" w:w="36%"/>
            <w:shd w:fill="F5F0E8" w:val="clear"/>
            <w:tcMar>
              <w:top w:type="dxa" w:w="100"/>
              <w:left w:type="dxa" w:w="120"/>
              <w:bottom w:type="dxa" w:w="100"/>
              <w:right w:type="dxa" w:w="120"/>
            </w:tcMar>
            <w:vAlign w:val="center"/>
          </w:tcPr>
          <w:p>
            <w:r>
              <w:rPr>
                <w:sz w:val="20"/>
                <w:szCs w:val="20"/>
              </w:rPr>
              <w:t xml:space="preserve">Honestly flagged in the setting's own docstring; there is no labelled beacon corpus in this project yet</w:t>
            </w:r>
          </w:p>
        </w:tc>
      </w:tr>
      <w:tr>
        <w:tc>
          <w:tcPr>
            <w:tcW w:type="pct" w:w="12%"/>
            <w:tcMar>
              <w:top w:type="dxa" w:w="100"/>
              <w:left w:type="dxa" w:w="120"/>
              <w:bottom w:type="dxa" w:w="100"/>
              <w:right w:type="dxa" w:w="120"/>
            </w:tcMar>
            <w:vAlign w:val="center"/>
          </w:tcPr>
          <w:p>
            <w:r>
              <w:rPr>
                <w:sz w:val="20"/>
                <w:szCs w:val="20"/>
              </w:rPr>
              <w:t xml:space="preserve">MEDIUM</w:t>
            </w:r>
          </w:p>
        </w:tc>
        <w:tc>
          <w:tcPr>
            <w:tcW w:type="pct" w:w="52%"/>
            <w:tcMar>
              <w:top w:type="dxa" w:w="100"/>
              <w:left w:type="dxa" w:w="120"/>
              <w:bottom w:type="dxa" w:w="100"/>
              <w:right w:type="dxa" w:w="120"/>
            </w:tcMar>
            <w:vAlign w:val="center"/>
          </w:tcPr>
          <w:p>
            <w:r>
              <w:rPr>
                <w:sz w:val="20"/>
                <w:szCs w:val="20"/>
              </w:rPr>
              <w:t xml:space="preserve">0% of real replay IPs resolve onto the curated asset graph</w:t>
            </w:r>
          </w:p>
        </w:tc>
        <w:tc>
          <w:tcPr>
            <w:tcW w:type="pct" w:w="36%"/>
            <w:tcMar>
              <w:top w:type="dxa" w:w="100"/>
              <w:left w:type="dxa" w:w="120"/>
              <w:bottom w:type="dxa" w:w="100"/>
              <w:right w:type="dxa" w:w="120"/>
            </w:tcMar>
            <w:vAlign w:val="center"/>
          </w:tcPr>
          <w:p>
            <w:r>
              <w:rPr>
                <w:sz w:val="20"/>
                <w:szCs w:val="20"/>
              </w:rPr>
              <w:t xml:space="preserve">Unchanged, well-understood, honestly handled — still a real gap</w:t>
            </w:r>
          </w:p>
        </w:tc>
      </w:tr>
      <w:tr>
        <w:tc>
          <w:tcPr>
            <w:tcW w:type="pct" w:w="12%"/>
            <w:shd w:fill="F5F0E8" w:val="clear"/>
            <w:tcMar>
              <w:top w:type="dxa" w:w="100"/>
              <w:left w:type="dxa" w:w="120"/>
              <w:bottom w:type="dxa" w:w="100"/>
              <w:right w:type="dxa" w:w="120"/>
            </w:tcMar>
            <w:vAlign w:val="center"/>
          </w:tcPr>
          <w:p>
            <w:r>
              <w:rPr>
                <w:sz w:val="20"/>
                <w:szCs w:val="20"/>
              </w:rPr>
              <w:t xml:space="preserve">LOW</w:t>
            </w:r>
          </w:p>
        </w:tc>
        <w:tc>
          <w:tcPr>
            <w:tcW w:type="pct" w:w="52%"/>
            <w:shd w:fill="F5F0E8" w:val="clear"/>
            <w:tcMar>
              <w:top w:type="dxa" w:w="100"/>
              <w:left w:type="dxa" w:w="120"/>
              <w:bottom w:type="dxa" w:w="100"/>
              <w:right w:type="dxa" w:w="120"/>
            </w:tcMar>
            <w:vAlign w:val="center"/>
          </w:tcPr>
          <w:p>
            <w:r>
              <w:rPr>
                <w:sz w:val="20"/>
                <w:szCs w:val="20"/>
              </w:rPr>
              <w:t xml:space="preserve">Only 2 of 4 scripted-attack demo gateways materialize against a real protected asset</w:t>
            </w:r>
          </w:p>
        </w:tc>
        <w:tc>
          <w:tcPr>
            <w:tcW w:type="pct" w:w="36%"/>
            <w:shd w:fill="F5F0E8" w:val="clear"/>
            <w:tcMar>
              <w:top w:type="dxa" w:w="100"/>
              <w:left w:type="dxa" w:w="120"/>
              <w:bottom w:type="dxa" w:w="100"/>
              <w:right w:type="dxa" w:w="120"/>
            </w:tcMar>
            <w:vAlign w:val="center"/>
          </w:tcPr>
          <w:p>
            <w:r>
              <w:rPr>
                <w:sz w:val="20"/>
                <w:szCs w:val="20"/>
              </w:rPr>
              <w:t xml:space="preserve">Re-investigated (2026-09-02, carried into this edition): this is a deliberately engineered fallback path, not an evaluation weakness — see Part 3 and the K4 discussion in Part 18. Downgraded from HIGH in the first edition.</w:t>
            </w:r>
          </w:p>
        </w:tc>
      </w:tr>
      <w:tr>
        <w:tc>
          <w:tcPr>
            <w:tcW w:type="pct" w:w="12%"/>
            <w:tcMar>
              <w:top w:type="dxa" w:w="100"/>
              <w:left w:type="dxa" w:w="120"/>
              <w:bottom w:type="dxa" w:w="100"/>
              <w:right w:type="dxa" w:w="120"/>
            </w:tcMar>
            <w:vAlign w:val="center"/>
          </w:tcPr>
          <w:p>
            <w:r>
              <w:rPr>
                <w:sz w:val="20"/>
                <w:szCs w:val="20"/>
              </w:rPr>
              <w:t xml:space="preserve">LOW</w:t>
            </w:r>
          </w:p>
        </w:tc>
        <w:tc>
          <w:tcPr>
            <w:tcW w:type="pct" w:w="52%"/>
            <w:tcMar>
              <w:top w:type="dxa" w:w="100"/>
              <w:left w:type="dxa" w:w="120"/>
              <w:bottom w:type="dxa" w:w="100"/>
              <w:right w:type="dxa" w:w="120"/>
            </w:tcMar>
            <w:vAlign w:val="center"/>
          </w:tcPr>
          <w:p>
            <w:r>
              <w:rPr>
                <w:sz w:val="20"/>
                <w:szCs w:val="20"/>
              </w:rPr>
              <w:t xml:space="preserve">Several docs remain stale relative to current code</w:t>
            </w:r>
          </w:p>
        </w:tc>
        <w:tc>
          <w:tcPr>
            <w:tcW w:type="pct" w:w="36%"/>
            <w:tcMar>
              <w:top w:type="dxa" w:w="100"/>
              <w:left w:type="dxa" w:w="120"/>
              <w:bottom w:type="dxa" w:w="100"/>
              <w:right w:type="dxa" w:w="120"/>
            </w:tcMar>
            <w:vAlign w:val="center"/>
          </w:tcPr>
          <w:p>
            <w:r>
              <w:rPr>
                <w:sz w:val="20"/>
                <w:szCs w:val="20"/>
              </w:rPr>
              <w:t xml:space="preserve">Unchanged pattern; see Part 18 for the current inventory</w:t>
            </w:r>
          </w:p>
        </w:tc>
      </w:tr>
    </w:tbl>
    <w:p>
      <w:pPr>
        <w:pStyle w:val="Heading1"/>
        <w:pBdr>
          <w:bottom w:val="single" w:color="B45309" w:sz="12" w:space="4"/>
        </w:pBdr>
        <w:spacing w:after="200" w:before="480"/>
      </w:pPr>
      <w:r>
        <w:rPr>
          <w:b/>
          <w:bCs/>
          <w:color w:val="B45309"/>
          <w:sz w:val="30"/>
          <w:szCs w:val="30"/>
        </w:rPr>
        <w:t xml:space="preserve">PART 18 — Internal Consistency Audit</w:t>
      </w:r>
    </w:p>
    <w:tbl>
      <w:tblPr>
        <w:tblW w:type="pct" w:w="100%"/>
        <w:tblBorders>
          <w:top w:val="single" w:color="D8CBB0" w:sz="4"/>
          <w:left w:val="single" w:color="D8CBB0" w:sz="4"/>
          <w:bottom w:val="single" w:color="D8CBB0" w:sz="4"/>
          <w:right w:val="single" w:color="D8CBB0" w:sz="4"/>
          <w:insideH w:val="single" w:color="D8CBB0" w:sz="4"/>
          <w:insideV w:val="single" w:color="D8CBB0" w:sz="4"/>
        </w:tblBorders>
      </w:tblPr>
      <w:tblGrid>
        <w:gridCol w:w="100"/>
        <w:gridCol w:w="100"/>
        <w:gridCol w:w="100"/>
        <w:gridCol w:w="100"/>
      </w:tblGrid>
      <w:tr>
        <w:trPr>
          <w:tblHeader/>
        </w:trPr>
        <w:tc>
          <w:tcPr>
            <w:tcW w:type="pct" w:w="26%"/>
            <w:shd w:fill="1C1917" w:val="clear"/>
            <w:tcMar>
              <w:top w:type="dxa" w:w="100"/>
              <w:left w:type="dxa" w:w="120"/>
              <w:bottom w:type="dxa" w:w="100"/>
              <w:right w:type="dxa" w:w="120"/>
            </w:tcMar>
            <w:vAlign w:val="center"/>
          </w:tcPr>
          <w:p>
            <w:r>
              <w:rPr>
                <w:b/>
                <w:bCs/>
                <w:color w:val="FFFFFF"/>
                <w:sz w:val="19"/>
                <w:szCs w:val="19"/>
              </w:rPr>
              <w:t xml:space="preserve">Claim</w:t>
            </w:r>
          </w:p>
        </w:tc>
        <w:tc>
          <w:tcPr>
            <w:tcW w:type="pct" w:w="30%"/>
            <w:shd w:fill="1C1917" w:val="clear"/>
            <w:tcMar>
              <w:top w:type="dxa" w:w="100"/>
              <w:left w:type="dxa" w:w="120"/>
              <w:bottom w:type="dxa" w:w="100"/>
              <w:right w:type="dxa" w:w="120"/>
            </w:tcMar>
            <w:vAlign w:val="center"/>
          </w:tcPr>
          <w:p>
            <w:r>
              <w:rPr>
                <w:b/>
                <w:bCs/>
                <w:color w:val="FFFFFF"/>
                <w:sz w:val="19"/>
                <w:szCs w:val="19"/>
              </w:rPr>
              <w:t xml:space="preserve">Source A</w:t>
            </w:r>
          </w:p>
        </w:tc>
        <w:tc>
          <w:tcPr>
            <w:tcW w:type="pct" w:w="30%"/>
            <w:shd w:fill="1C1917" w:val="clear"/>
            <w:tcMar>
              <w:top w:type="dxa" w:w="100"/>
              <w:left w:type="dxa" w:w="120"/>
              <w:bottom w:type="dxa" w:w="100"/>
              <w:right w:type="dxa" w:w="120"/>
            </w:tcMar>
            <w:vAlign w:val="center"/>
          </w:tcPr>
          <w:p>
            <w:r>
              <w:rPr>
                <w:b/>
                <w:bCs/>
                <w:color w:val="FFFFFF"/>
                <w:sz w:val="19"/>
                <w:szCs w:val="19"/>
              </w:rPr>
              <w:t xml:space="preserve">Source B</w:t>
            </w:r>
          </w:p>
        </w:tc>
        <w:tc>
          <w:tcPr>
            <w:tcW w:type="pct" w:w="14%"/>
            <w:shd w:fill="1C1917" w:val="clear"/>
            <w:tcMar>
              <w:top w:type="dxa" w:w="100"/>
              <w:left w:type="dxa" w:w="120"/>
              <w:bottom w:type="dxa" w:w="100"/>
              <w:right w:type="dxa" w:w="120"/>
            </w:tcMar>
            <w:vAlign w:val="center"/>
          </w:tcPr>
          <w:p>
            <w:r>
              <w:rPr>
                <w:b/>
                <w:bCs/>
                <w:color w:val="FFFFFF"/>
                <w:sz w:val="19"/>
                <w:szCs w:val="19"/>
              </w:rPr>
              <w:t xml:space="preserve">Status</w:t>
            </w:r>
          </w:p>
        </w:tc>
      </w:tr>
      <w:tr>
        <w:tc>
          <w:tcPr>
            <w:tcW w:type="pct" w:w="26%"/>
            <w:tcMar>
              <w:top w:type="dxa" w:w="100"/>
              <w:left w:type="dxa" w:w="120"/>
              <w:bottom w:type="dxa" w:w="100"/>
              <w:right w:type="dxa" w:w="120"/>
            </w:tcMar>
            <w:vAlign w:val="center"/>
          </w:tcPr>
          <w:p>
            <w:r>
              <w:rPr>
                <w:sz w:val="20"/>
                <w:szCs w:val="20"/>
              </w:rPr>
              <w:t xml:space="preserve">City graph node count (pre-scale baseline)</w:t>
            </w:r>
          </w:p>
        </w:tc>
        <w:tc>
          <w:tcPr>
            <w:tcW w:type="pct" w:w="30%"/>
            <w:tcMar>
              <w:top w:type="dxa" w:w="100"/>
              <w:left w:type="dxa" w:w="120"/>
              <w:bottom w:type="dxa" w:w="100"/>
              <w:right w:type="dxa" w:w="120"/>
            </w:tcMar>
            <w:vAlign w:val="center"/>
          </w:tcPr>
          <w:p>
            <w:r>
              <w:rPr>
                <w:sz w:val="20"/>
                <w:szCs w:val="20"/>
              </w:rPr>
              <w:t xml:space="preserve">PHASE5_BUILD_PLAN.md: “35 synthetic nodes”</w:t>
            </w:r>
          </w:p>
        </w:tc>
        <w:tc>
          <w:tcPr>
            <w:tcW w:type="pct" w:w="30%"/>
            <w:tcMar>
              <w:top w:type="dxa" w:w="100"/>
              <w:left w:type="dxa" w:w="120"/>
              <w:bottom w:type="dxa" w:w="100"/>
              <w:right w:type="dxa" w:w="120"/>
            </w:tcMar>
            <w:vAlign w:val="center"/>
          </w:tcPr>
          <w:p>
            <w:r>
              <w:rPr>
                <w:sz w:val="20"/>
                <w:szCs w:val="20"/>
              </w:rPr>
              <w:t xml:space="preserve">PHASE5_CITY_SCALE_PLAN.md: “16→~50” / “11 existing assets”</w:t>
            </w:r>
          </w:p>
        </w:tc>
        <w:tc>
          <w:tcPr>
            <w:tcW w:type="pct" w:w="14%"/>
            <w:tcMar>
              <w:top w:type="dxa" w:w="100"/>
              <w:left w:type="dxa" w:w="120"/>
              <w:bottom w:type="dxa" w:w="100"/>
              <w:right w:type="dxa" w:w="120"/>
            </w:tcMar>
            <w:vAlign w:val="center"/>
          </w:tcPr>
          <w:p>
            <w:r>
              <w:rPr>
                <w:sz w:val="20"/>
                <w:szCs w:val="20"/>
              </w:rPr>
              <w:t xml:space="preserve">CONTRADICTION — unchanged, historical baseline docs, not touched this pass</w:t>
            </w:r>
          </w:p>
        </w:tc>
      </w:tr>
      <w:tr>
        <w:tc>
          <w:tcPr>
            <w:tcW w:type="pct" w:w="26%"/>
            <w:shd w:fill="F5F0E8" w:val="clear"/>
            <w:tcMar>
              <w:top w:type="dxa" w:w="100"/>
              <w:left w:type="dxa" w:w="120"/>
              <w:bottom w:type="dxa" w:w="100"/>
              <w:right w:type="dxa" w:w="120"/>
            </w:tcMar>
            <w:vAlign w:val="center"/>
          </w:tcPr>
          <w:p>
            <w:r>
              <w:rPr>
                <w:sz w:val="20"/>
                <w:szCs w:val="20"/>
              </w:rPr>
              <w:t xml:space="preserve">45-node vs 50-node graph</w:t>
            </w:r>
          </w:p>
        </w:tc>
        <w:tc>
          <w:tcPr>
            <w:tcW w:type="pct" w:w="30%"/>
            <w:shd w:fill="F5F0E8" w:val="clear"/>
            <w:tcMar>
              <w:top w:type="dxa" w:w="100"/>
              <w:left w:type="dxa" w:w="120"/>
              <w:bottom w:type="dxa" w:w="100"/>
              <w:right w:type="dxa" w:w="120"/>
            </w:tcMar>
            <w:vAlign w:val="center"/>
          </w:tcPr>
          <w:p>
            <w:r>
              <w:rPr>
                <w:sz w:val="20"/>
                <w:szCs w:val="20"/>
              </w:rPr>
              <w:t xml:space="preserve">config.py's raw SMART_CITY_ASSETS: 45 assets, 63 edges</w:t>
            </w:r>
          </w:p>
        </w:tc>
        <w:tc>
          <w:tcPr>
            <w:tcW w:type="pct" w:w="30%"/>
            <w:shd w:fill="F5F0E8" w:val="clear"/>
            <w:tcMar>
              <w:top w:type="dxa" w:w="100"/>
              <w:left w:type="dxa" w:w="120"/>
              <w:bottom w:type="dxa" w:w="100"/>
              <w:right w:type="dxa" w:w="120"/>
            </w:tcMar>
            <w:vAlign w:val="center"/>
          </w:tcPr>
          <w:p>
            <w:r>
              <w:rPr>
                <w:sz w:val="20"/>
                <w:szCs w:val="20"/>
              </w:rPr>
              <w:t xml:space="preserve">Live GET /api/topology: 50 nodes, 75 edges (raw 45 + 4 gateways + 1 City_Grid)</w:t>
            </w:r>
          </w:p>
        </w:tc>
        <w:tc>
          <w:tcPr>
            <w:tcW w:type="pct" w:w="14%"/>
            <w:shd w:fill="F5F0E8" w:val="clear"/>
            <w:tcMar>
              <w:top w:type="dxa" w:w="100"/>
              <w:left w:type="dxa" w:w="120"/>
              <w:bottom w:type="dxa" w:w="100"/>
              <w:right w:type="dxa" w:w="120"/>
            </w:tcMar>
            <w:vAlign w:val="center"/>
          </w:tcPr>
          <w:p>
            <w:r>
              <w:rPr>
                <w:sz w:val="20"/>
                <w:szCs w:val="20"/>
              </w:rPr>
              <w:t xml:space="preserve">NOT A CONTRADICTION — both correct for what they measure. Unchanged, and now also true of the frontend's compact view for the first time (previously the compact view under-rendered even the correct 50-node topology, a separate bug, now fixed).</w:t>
            </w:r>
          </w:p>
        </w:tc>
      </w:tr>
      <w:tr>
        <w:tc>
          <w:tcPr>
            <w:tcW w:type="pct" w:w="26%"/>
            <w:tcMar>
              <w:top w:type="dxa" w:w="100"/>
              <w:left w:type="dxa" w:w="120"/>
              <w:bottom w:type="dxa" w:w="100"/>
              <w:right w:type="dxa" w:w="120"/>
            </w:tcMar>
            <w:vAlign w:val="center"/>
          </w:tcPr>
          <w:p>
            <w:r>
              <w:rPr>
                <w:sz w:val="20"/>
                <w:szCs w:val="20"/>
              </w:rPr>
              <w:t xml:space="preserve">Landing/demo replay day</w:t>
            </w:r>
          </w:p>
        </w:tc>
        <w:tc>
          <w:tcPr>
            <w:tcW w:type="pct" w:w="30%"/>
            <w:tcMar>
              <w:top w:type="dxa" w:w="100"/>
              <w:left w:type="dxa" w:w="120"/>
              <w:bottom w:type="dxa" w:w="100"/>
              <w:right w:type="dxa" w:w="120"/>
            </w:tcMar>
            <w:vAlign w:val="center"/>
          </w:tcPr>
          <w:p>
            <w:r>
              <w:rPr>
                <w:sz w:val="20"/>
                <w:szCs w:val="20"/>
              </w:rPr>
              <w:t xml:space="preserve">PHASE5_RECON.md recommends Monday</w:t>
            </w:r>
          </w:p>
        </w:tc>
        <w:tc>
          <w:tcPr>
            <w:tcW w:type="pct" w:w="30%"/>
            <w:tcMar>
              <w:top w:type="dxa" w:w="100"/>
              <w:left w:type="dxa" w:w="120"/>
              <w:bottom w:type="dxa" w:w="100"/>
              <w:right w:type="dxa" w:w="120"/>
            </w:tcMar>
            <w:vAlign w:val="center"/>
          </w:tcPr>
          <w:p>
            <w:r>
              <w:rPr>
                <w:sz w:val="20"/>
                <w:szCs w:val="20"/>
              </w:rPr>
              <w:t xml:space="preserve">PHASE5_STATE.md records the actual choice as friday-morning</w:t>
            </w:r>
          </w:p>
        </w:tc>
        <w:tc>
          <w:tcPr>
            <w:tcW w:type="pct" w:w="14%"/>
            <w:tcMar>
              <w:top w:type="dxa" w:w="100"/>
              <w:left w:type="dxa" w:w="120"/>
              <w:bottom w:type="dxa" w:w="100"/>
              <w:right w:type="dxa" w:w="120"/>
            </w:tcMar>
            <w:vAlign w:val="center"/>
          </w:tcPr>
          <w:p>
            <w:r>
              <w:rPr>
                <w:sz w:val="20"/>
                <w:szCs w:val="20"/>
              </w:rPr>
              <w:t xml:space="preserve">CONTRADICTION — unchanged</w:t>
            </w:r>
          </w:p>
        </w:tc>
      </w:tr>
      <w:tr>
        <w:tc>
          <w:tcPr>
            <w:tcW w:type="pct" w:w="26%"/>
            <w:shd w:fill="F5F0E8" w:val="clear"/>
            <w:tcMar>
              <w:top w:type="dxa" w:w="100"/>
              <w:left w:type="dxa" w:w="120"/>
              <w:bottom w:type="dxa" w:w="100"/>
              <w:right w:type="dxa" w:w="120"/>
            </w:tcMar>
            <w:vAlign w:val="center"/>
          </w:tcPr>
          <w:p>
            <w:r>
              <w:rPr>
                <w:sz w:val="20"/>
                <w:szCs w:val="20"/>
              </w:rPr>
              <w:t xml:space="preserve">Real IPs resolving onto curated assets</w:t>
            </w:r>
          </w:p>
        </w:tc>
        <w:tc>
          <w:tcPr>
            <w:tcW w:type="pct" w:w="30%"/>
            <w:shd w:fill="F5F0E8" w:val="clear"/>
            <w:tcMar>
              <w:top w:type="dxa" w:w="100"/>
              <w:left w:type="dxa" w:w="120"/>
              <w:bottom w:type="dxa" w:w="100"/>
              <w:right w:type="dxa" w:w="120"/>
            </w:tcMar>
            <w:vAlign w:val="center"/>
          </w:tcPr>
          <w:p>
            <w:r>
              <w:rPr>
                <w:sz w:val="20"/>
                <w:szCs w:val="20"/>
              </w:rPr>
              <w:t xml:space="preserve">PHASE5_BUILD_PLAN.md §5 assumes yes</w:t>
            </w:r>
          </w:p>
        </w:tc>
        <w:tc>
          <w:tcPr>
            <w:tcW w:type="pct" w:w="30%"/>
            <w:shd w:fill="F5F0E8" w:val="clear"/>
            <w:tcMar>
              <w:top w:type="dxa" w:w="100"/>
              <w:left w:type="dxa" w:w="120"/>
              <w:bottom w:type="dxa" w:w="100"/>
              <w:right w:type="dxa" w:w="120"/>
            </w:tcMar>
            <w:vAlign w:val="center"/>
          </w:tcPr>
          <w:p>
            <w:r>
              <w:rPr>
                <w:sz w:val="20"/>
                <w:szCs w:val="20"/>
              </w:rPr>
              <w:t xml:space="preserve">PHASE5_STATE.md K8 measures 0 of 20,000</w:t>
            </w:r>
          </w:p>
        </w:tc>
        <w:tc>
          <w:tcPr>
            <w:tcW w:type="pct" w:w="14%"/>
            <w:shd w:fill="F5F0E8" w:val="clear"/>
            <w:tcMar>
              <w:top w:type="dxa" w:w="100"/>
              <w:left w:type="dxa" w:w="120"/>
              <w:bottom w:type="dxa" w:w="100"/>
              <w:right w:type="dxa" w:w="120"/>
            </w:tcMar>
            <w:vAlign w:val="center"/>
          </w:tcPr>
          <w:p>
            <w:r>
              <w:rPr>
                <w:sz w:val="20"/>
                <w:szCs w:val="20"/>
              </w:rPr>
              <w:t xml:space="preserve">CONTRADICTION, self-identified by the project — unchanged</w:t>
            </w:r>
          </w:p>
        </w:tc>
      </w:tr>
      <w:tr>
        <w:tc>
          <w:tcPr>
            <w:tcW w:type="pct" w:w="26%"/>
            <w:tcMar>
              <w:top w:type="dxa" w:w="100"/>
              <w:left w:type="dxa" w:w="120"/>
              <w:bottom w:type="dxa" w:w="100"/>
              <w:right w:type="dxa" w:w="120"/>
            </w:tcMar>
            <w:vAlign w:val="center"/>
          </w:tcPr>
          <w:p>
            <w:r>
              <w:rPr>
                <w:sz w:val="20"/>
                <w:szCs w:val="20"/>
              </w:rPr>
              <w:t xml:space="preserve">Canonical schema column count</w:t>
            </w:r>
          </w:p>
        </w:tc>
        <w:tc>
          <w:tcPr>
            <w:tcW w:type="pct" w:w="30%"/>
            <w:tcMar>
              <w:top w:type="dxa" w:w="100"/>
              <w:left w:type="dxa" w:w="120"/>
              <w:bottom w:type="dxa" w:w="100"/>
              <w:right w:type="dxa" w:w="120"/>
            </w:tcMar>
            <w:vAlign w:val="center"/>
          </w:tcPr>
          <w:p>
            <w:r>
              <w:rPr>
                <w:sz w:val="20"/>
                <w:szCs w:val="20"/>
              </w:rPr>
              <w:t xml:space="preserve">Older docs: 14 columns</w:t>
            </w:r>
          </w:p>
        </w:tc>
        <w:tc>
          <w:tcPr>
            <w:tcW w:type="pct" w:w="30%"/>
            <w:tcMar>
              <w:top w:type="dxa" w:w="100"/>
              <w:left w:type="dxa" w:w="120"/>
              <w:bottom w:type="dxa" w:w="100"/>
              <w:right w:type="dxa" w:w="120"/>
            </w:tcMar>
            <w:vAlign w:val="center"/>
          </w:tcPr>
          <w:p>
            <w:r>
              <w:rPr>
                <w:sz w:val="20"/>
                <w:szCs w:val="20"/>
              </w:rPr>
              <w:t xml:space="preserve">schema.py v2.0, current: 17 columns</w:t>
            </w:r>
          </w:p>
        </w:tc>
        <w:tc>
          <w:tcPr>
            <w:tcW w:type="pct" w:w="14%"/>
            <w:tcMar>
              <w:top w:type="dxa" w:w="100"/>
              <w:left w:type="dxa" w:w="120"/>
              <w:bottom w:type="dxa" w:w="100"/>
              <w:right w:type="dxa" w:w="120"/>
            </w:tcMar>
            <w:vAlign w:val="center"/>
          </w:tcPr>
          <w:p>
            <w:r>
              <w:rPr>
                <w:sz w:val="20"/>
                <w:szCs w:val="20"/>
              </w:rPr>
              <w:t xml:space="preserve">CONTRADICTION — unchanged doc lag</w:t>
            </w:r>
          </w:p>
        </w:tc>
      </w:tr>
      <w:tr>
        <w:tc>
          <w:tcPr>
            <w:tcW w:type="pct" w:w="26%"/>
            <w:shd w:fill="F5F0E8" w:val="clear"/>
            <w:tcMar>
              <w:top w:type="dxa" w:w="100"/>
              <w:left w:type="dxa" w:w="120"/>
              <w:bottom w:type="dxa" w:w="100"/>
              <w:right w:type="dxa" w:w="120"/>
            </w:tcMar>
            <w:vAlign w:val="center"/>
          </w:tcPr>
          <w:p>
            <w:r>
              <w:rPr>
                <w:sz w:val="20"/>
                <w:szCs w:val="20"/>
              </w:rPr>
              <w:t xml:space="preserve">Scripted-attack lead-time coverage vs. gateway materialization</w:t>
            </w:r>
          </w:p>
        </w:tc>
        <w:tc>
          <w:tcPr>
            <w:tcW w:type="pct" w:w="30%"/>
            <w:shd w:fill="F5F0E8" w:val="clear"/>
            <w:tcMar>
              <w:top w:type="dxa" w:w="100"/>
              <w:left w:type="dxa" w:w="120"/>
              <w:bottom w:type="dxa" w:w="100"/>
              <w:right w:type="dxa" w:w="120"/>
            </w:tcMar>
            <w:vAlign w:val="center"/>
          </w:tcPr>
          <w:p>
            <w:r>
              <w:rPr>
                <w:sz w:val="20"/>
                <w:szCs w:val="20"/>
              </w:rPr>
              <w:t xml:space="preserve">PLAN_MASTER.md / EVALUATION.md: “all four scripted attacks show a positive lead time”</w:t>
            </w:r>
          </w:p>
        </w:tc>
        <w:tc>
          <w:tcPr>
            <w:tcW w:type="pct" w:w="30%"/>
            <w:shd w:fill="F5F0E8" w:val="clear"/>
            <w:tcMar>
              <w:top w:type="dxa" w:w="100"/>
              <w:left w:type="dxa" w:w="120"/>
              <w:bottom w:type="dxa" w:w="100"/>
              <w:right w:type="dxa" w:w="120"/>
            </w:tcMar>
            <w:vAlign w:val="center"/>
          </w:tcPr>
          <w:p>
            <w:r>
              <w:rPr>
                <w:sz w:val="20"/>
                <w:szCs w:val="20"/>
              </w:rPr>
              <w:t xml:space="preserve">PHASE5_STATE.md K4: only 2 of 4 named gateways guard a protected asset</w:t>
            </w:r>
          </w:p>
        </w:tc>
        <w:tc>
          <w:tcPr>
            <w:tcW w:type="pct" w:w="14%"/>
            <w:shd w:fill="F5F0E8" w:val="clear"/>
            <w:tcMar>
              <w:top w:type="dxa" w:w="100"/>
              <w:left w:type="dxa" w:w="120"/>
              <w:bottom w:type="dxa" w:w="100"/>
              <w:right w:type="dxa" w:w="120"/>
            </w:tcMar>
            <w:vAlign w:val="center"/>
          </w:tcPr>
          <w:p>
            <w:r>
              <w:rPr>
                <w:b/>
                <w:bCs/>
                <w:sz w:val="20"/>
                <w:szCs w:val="20"/>
              </w:rPr>
              <w:t xml:space="preserve">Reframed, carried into this edition.</w:t>
            </w:r>
            <w:r>
              <w:rPr>
                <w:sz w:val="20"/>
                <w:szCs w:val="20"/>
              </w:rPr>
              <w:t xml:space="preserve"> A 2026-09-02 re-investigation found these measure genuinely different things and neither claim is actually broken: the lead-time measurement never depends on gateway-target-asset presence, and the CII engine has a purpose-built, tested fallback (a deterministic minimum CII, not zero) for exactly the "gateway guards nothing yet" case. Framed correctly, this is a demonstrated defensive-engineering property, not an inconsistency — but say so precisely if asked, don't just assert "no contradiction" without the mechanism.</w:t>
            </w:r>
          </w:p>
        </w:tc>
      </w:tr>
      <w:tr>
        <w:tc>
          <w:tcPr>
            <w:tcW w:type="pct" w:w="26%"/>
            <w:tcMar>
              <w:top w:type="dxa" w:w="100"/>
              <w:left w:type="dxa" w:w="120"/>
              <w:bottom w:type="dxa" w:w="100"/>
              <w:right w:type="dxa" w:w="120"/>
            </w:tcMar>
            <w:vAlign w:val="center"/>
          </w:tcPr>
          <w:p>
            <w:r>
              <w:rPr>
                <w:sz w:val="20"/>
                <w:szCs w:val="20"/>
              </w:rPr>
              <w:t xml:space="preserve">Test suite headline number</w:t>
            </w:r>
          </w:p>
        </w:tc>
        <w:tc>
          <w:tcPr>
            <w:tcW w:type="pct" w:w="30%"/>
            <w:tcMar>
              <w:top w:type="dxa" w:w="100"/>
              <w:left w:type="dxa" w:w="120"/>
              <w:bottom w:type="dxa" w:w="100"/>
              <w:right w:type="dxa" w:w="120"/>
            </w:tcMar>
            <w:vAlign w:val="center"/>
          </w:tcPr>
          <w:p>
            <w:r>
              <w:rPr>
                <w:sz w:val="20"/>
                <w:szCs w:val="20"/>
              </w:rPr>
              <w:t xml:space="preserve">First edition of this dossier: “538 passed, 13 skipped”</w:t>
            </w:r>
          </w:p>
        </w:tc>
        <w:tc>
          <w:tcPr>
            <w:tcW w:type="pct" w:w="30%"/>
            <w:tcMar>
              <w:top w:type="dxa" w:w="100"/>
              <w:left w:type="dxa" w:w="120"/>
              <w:bottom w:type="dxa" w:w="100"/>
              <w:right w:type="dxa" w:w="120"/>
            </w:tcMar>
            <w:vAlign w:val="center"/>
          </w:tcPr>
          <w:p>
            <w:r>
              <w:rPr>
                <w:sz w:val="20"/>
                <w:szCs w:val="20"/>
              </w:rPr>
              <w:t xml:space="preserve">Current: 680 passed / 0 skipped (live Postgres), 665 passed / 15 skipped (default posture)</w:t>
            </w:r>
          </w:p>
        </w:tc>
        <w:tc>
          <w:tcPr>
            <w:tcW w:type="pct" w:w="14%"/>
            <w:tcMar>
              <w:top w:type="dxa" w:w="100"/>
              <w:left w:type="dxa" w:w="120"/>
              <w:bottom w:type="dxa" w:w="100"/>
              <w:right w:type="dxa" w:w="120"/>
            </w:tcMar>
            <w:vAlign w:val="center"/>
          </w:tcPr>
          <w:p>
            <w:r>
              <w:rPr>
                <w:sz w:val="20"/>
                <w:szCs w:val="20"/>
              </w:rPr>
              <w:t xml:space="preserve">NOT A CONTRADICTION — this dossier's own number was current at the time and is now updated in place, per this project's own stated policy on stale figures</w:t>
            </w:r>
          </w:p>
        </w:tc>
      </w:tr>
    </w:tbl>
    <w:p>
      <w:pPr>
        <w:spacing w:after="140" w:line="276"/>
      </w:pPr>
      <w:r>
        <w:t xml:space="preserve">The project's stated policy is unchanged and remains the correct thing to cite verbatim if a judge finds a contradiction: “the code is authoritative where docs disagree,” and stale docs are “a known, actively-tracked failure mode here,” not a surprise.</w:t>
      </w:r>
    </w:p>
    <w:p>
      <w:pPr>
        <w:pStyle w:val="Heading1"/>
        <w:pBdr>
          <w:bottom w:val="single" w:color="B45309" w:sz="12" w:space="4"/>
        </w:pBdr>
        <w:spacing w:after="200" w:before="480"/>
      </w:pPr>
      <w:r>
        <w:rPr>
          <w:b/>
          <w:bCs/>
          <w:color w:val="B45309"/>
          <w:sz w:val="30"/>
          <w:szCs w:val="30"/>
        </w:rPr>
        <w:t xml:space="preserve">PART 19 — Judge Cross-Examination Bank</w:t>
      </w:r>
    </w:p>
    <w:p>
      <w:pPr>
        <w:spacing w:after="140" w:line="276"/>
      </w:pPr>
      <w:r>
        <w:t xml:space="preserve">Curated for depth and specificity, ordered easy to hard within each category. Every answer below is one you should be able to give without notes. Q&amp;A pairs unchanged in substance from the first edition are marked (unchanged); several are new.</w:t>
      </w:r>
    </w:p>
    <w:p>
      <w:pPr>
        <w:pStyle w:val="Heading3"/>
        <w:spacing w:after="80" w:before="220"/>
      </w:pPr>
      <w:r>
        <w:rPr>
          <w:b/>
          <w:bCs/>
          <w:color w:val="44403C"/>
          <w:sz w:val="21"/>
          <w:szCs w:val="21"/>
        </w:rPr>
        <w:t xml:space="preserve">Architecture &amp; Backend</w:t>
      </w:r>
    </w:p>
    <w:p>
      <w:pPr>
        <w:spacing w:after="60" w:before="160"/>
      </w:pPr>
      <w:r>
        <w:rPr>
          <w:b/>
          <w:bCs/>
          <w:color w:val="B45309"/>
        </w:rPr>
        <w:t xml:space="preserve">Q: </w:t>
      </w:r>
      <w:r>
        <w:rPr>
          <w:i/>
          <w:iCs/>
        </w:rPr>
        <w:t xml:space="preserve">Walk me through what happens, in order, from a packet in your CSV to a pixel changing on screen.</w:t>
      </w:r>
    </w:p>
    <w:p>
      <w:pPr>
        <w:spacing w:after="40"/>
      </w:pPr>
      <w:r>
        <w:rPr>
          <w:b/>
          <w:bCs/>
          <w:color w:val="15803D"/>
          <w:sz w:val="18"/>
          <w:szCs w:val="18"/>
        </w:rPr>
        <w:t xml:space="preserve">IDEAL ANSWER  </w:t>
      </w:r>
      <w:r>
        <w:t xml:space="preserve">ReplayFlowReader reads and chronologically sorts the CSV → ReplayEngine paces it in a background thread → IngestPipeline scores it (now five detectors + fusion), resolves assets, decides on an alert (existing-channel policy, and separately a hybrid-gated policy), writes one Postgres transaction → WebSocketBroadcaster publishes to every client's bounded queue, now including a fused-decision summary and, for existing-channel anomalies, the CII envelope regardless of alert suppression → StreamProvider distributes it via React Context → TelemetryRail/CityGraph/AlertsRail re-render, the graph now able to show every one of the 50 real nodes.</w:t>
      </w:r>
    </w:p>
    <w:p>
      <w:pPr>
        <w:spacing w:after="40"/>
      </w:pPr>
      <w:r>
        <w:rPr>
          <w:b/>
          <w:bCs/>
          <w:color w:val="6B7280"/>
          <w:sz w:val="18"/>
          <w:szCs w:val="18"/>
        </w:rPr>
        <w:t xml:space="preserve">FOLLOW-UP  </w:t>
      </w:r>
      <w:r>
        <w:t xml:space="preserve">“Which of those steps is synchronous, and what would happen if the DB write took 2 seconds?” Scoring, fusion, and the DB write are all synchronous in the replay thread; a slow write would stall the entire replay pacing — unchanged from the first edition.</w:t>
      </w:r>
    </w:p>
    <w:p>
      <w:pPr>
        <w:spacing w:after="60" w:before="160"/>
      </w:pPr>
      <w:r>
        <w:rPr>
          <w:b/>
          <w:bCs/>
          <w:color w:val="B45309"/>
        </w:rPr>
        <w:t xml:space="preserve">Q: </w:t>
      </w:r>
      <w:r>
        <w:rPr>
          <w:i/>
          <w:iCs/>
        </w:rPr>
        <w:t xml:space="preserve">(NEW) Your fusion engine has a special case for the tripwire. Isn't that just hardcoding the answer?</w:t>
      </w:r>
    </w:p>
    <w:p>
      <w:pPr>
        <w:spacing w:after="40"/>
      </w:pPr>
      <w:r>
        <w:rPr>
          <w:b/>
          <w:bCs/>
          <w:color w:val="15803D"/>
          <w:sz w:val="18"/>
          <w:szCs w:val="18"/>
        </w:rPr>
        <w:t xml:space="preserve">IDEAL ANSWER  </w:t>
      </w:r>
      <w:r>
        <w:t xml:space="preserve">It's not tripwire-specific in the code — it's a Certainty.CONFIRMED precedence rule that any future zero-false-positive detector could also use; the tripwire is simply the only channel that currently qualifies, because a credential with no legitimate use cannot produce a false positive by construction. If a second confirmed-certainty detector existed, it would get the same precedence. The alternative — folding it into the same weighted product as every other channel — would let a noisy volumetric hit alongside a real honeytoken touch measurably lower the fused score below what the honeytoken alone would produce, which is the opposite of what a confirmed compromise should do to a threat score.</w:t>
      </w:r>
    </w:p>
    <w:p>
      <w:pPr>
        <w:pStyle w:val="Heading3"/>
        <w:spacing w:after="80" w:before="220"/>
      </w:pPr>
      <w:r>
        <w:rPr>
          <w:b/>
          <w:bCs/>
          <w:color w:val="44403C"/>
          <w:sz w:val="21"/>
          <w:szCs w:val="21"/>
        </w:rPr>
        <w:t xml:space="preserve">AI/ML</w:t>
      </w:r>
    </w:p>
    <w:p>
      <w:pPr>
        <w:spacing w:after="60" w:before="160"/>
      </w:pPr>
      <w:r>
        <w:rPr>
          <w:b/>
          <w:bCs/>
          <w:color w:val="B45309"/>
        </w:rPr>
        <w:t xml:space="preserve">Q: </w:t>
      </w:r>
      <w:r>
        <w:rPr>
          <w:i/>
          <w:iCs/>
        </w:rPr>
        <w:t xml:space="preserve">Your Isolation Forest gets 0.006 precision. Isn't that just a broken detector? (unchanged)</w:t>
      </w:r>
    </w:p>
    <w:p>
      <w:pPr>
        <w:spacing w:after="40"/>
      </w:pPr>
      <w:r>
        <w:rPr>
          <w:b/>
          <w:bCs/>
          <w:color w:val="15803D"/>
          <w:sz w:val="18"/>
          <w:szCs w:val="18"/>
        </w:rPr>
        <w:t xml:space="preserve">IDEAL ANSWER  </w:t>
      </w:r>
      <w:r>
        <w:t xml:space="preserve">It's a broken paradigm-fit, not a broken implementation. Bot C2 beaconing has a median payload of 6 bytes vs. 70 for benign flows, so a volume-based outlier detector is structurally looking the wrong direction. That's why the system pairs it with a honeytoken tripwire, and now also a beaconing detector built specifically to answer this exact blind spot with a different signal.</w:t>
      </w:r>
    </w:p>
    <w:p>
      <w:pPr>
        <w:spacing w:after="40"/>
      </w:pPr>
      <w:r>
        <w:rPr>
          <w:b/>
          <w:bCs/>
          <w:color w:val="6B7280"/>
          <w:sz w:val="18"/>
          <w:szCs w:val="18"/>
        </w:rPr>
        <w:t xml:space="preserve">FOLLOW-UP  </w:t>
      </w:r>
      <w:r>
        <w:t xml:space="preserve">“Then why keep it in the product at all?” Still the only channel that can flag genuinely novel volumetric behavior with zero labeled data — narrow but not zero value.</w:t>
      </w:r>
    </w:p>
    <w:p>
      <w:pPr>
        <w:spacing w:after="60" w:before="160"/>
      </w:pPr>
      <w:r>
        <w:rPr>
          <w:b/>
          <w:bCs/>
          <w:color w:val="B45309"/>
        </w:rPr>
        <w:t xml:space="preserve">Q: </w:t>
      </w:r>
      <w:r>
        <w:rPr>
          <w:i/>
          <w:iCs/>
        </w:rPr>
        <w:t xml:space="preserve">(NEW) Your signature engine went from 20% false positives to 0.56% during development. How do I know the current number is right and not just a third undiscovered bug?</w:t>
      </w:r>
    </w:p>
    <w:p>
      <w:pPr>
        <w:spacing w:after="40"/>
      </w:pPr>
      <w:r>
        <w:rPr>
          <w:b/>
          <w:bCs/>
          <w:color w:val="15803D"/>
          <w:sz w:val="18"/>
          <w:szCs w:val="18"/>
        </w:rPr>
        <w:t xml:space="preserve">IDEAL ANSWER  </w:t>
      </w:r>
      <w:r>
        <w:t xml:space="preserve">You don't, purely from my word — that's exactly why the fix pass added two specific regression tests pinning both false-positive classes that were actually found (the direction bug, and the missing-high-port-check bug), not a generic "test that it works" assertion. The honest answer is that I re-measured against the same real 40,000-flow sample after each fix rather than trusting the fix in isolation, and that discipline — measure, don't assume — is what caught the second bug in the first place. I can't prove there's no fourth bug; I can show you the measurement methodology that would catch one.</w:t>
      </w:r>
    </w:p>
    <w:p>
      <w:pPr>
        <w:spacing w:after="60" w:before="160"/>
      </w:pPr>
      <w:r>
        <w:rPr>
          <w:b/>
          <w:bCs/>
          <w:color w:val="B45309"/>
        </w:rPr>
        <w:t xml:space="preserve">Q: </w:t>
      </w:r>
      <w:r>
        <w:rPr>
          <w:i/>
          <w:iCs/>
        </w:rPr>
        <w:t xml:space="preserve">You reported Random Forest AUC as 0.9994 in one place and 0.847 in another. Which is real? (unchanged)</w:t>
      </w:r>
    </w:p>
    <w:p>
      <w:pPr>
        <w:spacing w:after="40"/>
      </w:pPr>
      <w:r>
        <w:rPr>
          <w:b/>
          <w:bCs/>
          <w:color w:val="15803D"/>
          <w:sz w:val="18"/>
          <w:szCs w:val="18"/>
        </w:rPr>
        <w:t xml:space="preserve">IDEAL ANSWER  </w:t>
      </w:r>
      <w:r>
        <w:t xml:space="preserve">0.847 (precision 0.996, recall 0.595) is the honest number — a chronological temporal split. The higher figure is a same-distribution comparison and should not be quoted as the model's real-world performance claim.</w:t>
      </w:r>
    </w:p>
    <w:p>
      <w:pPr>
        <w:pStyle w:val="Heading3"/>
        <w:spacing w:after="80" w:before="220"/>
      </w:pPr>
      <w:r>
        <w:rPr>
          <w:b/>
          <w:bCs/>
          <w:color w:val="44403C"/>
          <w:sz w:val="21"/>
          <w:szCs w:val="21"/>
        </w:rPr>
        <w:t xml:space="preserve">Mathematics</w:t>
      </w:r>
    </w:p>
    <w:p>
      <w:pPr>
        <w:spacing w:after="60" w:before="160"/>
      </w:pPr>
      <w:r>
        <w:rPr>
          <w:b/>
          <w:bCs/>
          <w:color w:val="B45309"/>
        </w:rPr>
        <w:t xml:space="preserve">Q: </w:t>
      </w:r>
      <w:r>
        <w:rPr>
          <w:i/>
          <w:iCs/>
        </w:rPr>
        <w:t xml:space="preserve">(NEW) Derive why noisy-OR, not a weighted average, for combining five detector opinions.</w:t>
      </w:r>
    </w:p>
    <w:p>
      <w:pPr>
        <w:spacing w:after="40"/>
      </w:pPr>
      <w:r>
        <w:rPr>
          <w:b/>
          <w:bCs/>
          <w:color w:val="15803D"/>
          <w:sz w:val="18"/>
          <w:szCs w:val="18"/>
        </w:rPr>
        <w:t xml:space="preserve">IDEAL ANSWER  </w:t>
      </w:r>
      <w:r>
        <w:t xml:space="preserve">[Walk through the formula from Part 8.] threat_score = 1 − Π(1 − p_i) is monotonic in the number of fired detectors by construction — adding evidence can only raise the score, never lower it, because each factor (1 − p_i) is ≤ 1. A weighted average doesn't have that property: a quiet detector with a high weight can pull the average DOWN even while a genuinely firing detector is present, which is backwards for a threat score. And unlike majority vote, it preserves each detector's own confidence and configured reliability instead of collapsing every verdict to a binary fired/not-fired count.</w:t>
      </w:r>
    </w:p>
    <w:p>
      <w:pPr>
        <w:pStyle w:val="Heading3"/>
        <w:spacing w:after="80" w:before="220"/>
      </w:pPr>
      <w:r>
        <w:rPr>
          <w:b/>
          <w:bCs/>
          <w:color w:val="44403C"/>
          <w:sz w:val="21"/>
          <w:szCs w:val="21"/>
        </w:rPr>
        <w:t xml:space="preserve">Data</w:t>
      </w:r>
    </w:p>
    <w:p>
      <w:pPr>
        <w:spacing w:after="60" w:before="160"/>
      </w:pPr>
      <w:r>
        <w:rPr>
          <w:b/>
          <w:bCs/>
          <w:color w:val="B45309"/>
        </w:rPr>
        <w:t xml:space="preserve">Q: </w:t>
      </w:r>
      <w:r>
        <w:rPr>
          <w:i/>
          <w:iCs/>
        </w:rPr>
        <w:t xml:space="preserve">Is any of the data in your live demo synthetic? (unchanged)</w:t>
      </w:r>
    </w:p>
    <w:p>
      <w:pPr>
        <w:spacing w:after="40"/>
      </w:pPr>
      <w:r>
        <w:rPr>
          <w:b/>
          <w:bCs/>
          <w:color w:val="15803D"/>
          <w:sz w:val="18"/>
          <w:szCs w:val="18"/>
        </w:rPr>
        <w:t xml:space="preserve">IDEAL ANSWER  </w:t>
      </w:r>
      <w:r>
        <w:t xml:space="preserve">No, in the Operations Console live path specifically: real captured CIC-IDS2017 traffic, replayed in true order; injections re-target real historical attack flows. I'll add proactively that the Research Console's older-variant IP assignment is synthetic, and PaySim is itself simulated by its authors.</w:t>
      </w:r>
    </w:p>
    <w:p>
      <w:pPr>
        <w:pStyle w:val="Heading3"/>
        <w:spacing w:after="80" w:before="220"/>
      </w:pPr>
      <w:r>
        <w:rPr>
          <w:b/>
          <w:bCs/>
          <w:color w:val="44403C"/>
          <w:sz w:val="21"/>
          <w:szCs w:val="21"/>
        </w:rPr>
        <w:t xml:space="preserve">Security</w:t>
      </w:r>
    </w:p>
    <w:p>
      <w:pPr>
        <w:spacing w:after="60" w:before="160"/>
      </w:pPr>
      <w:r>
        <w:rPr>
          <w:b/>
          <w:bCs/>
          <w:color w:val="B45309"/>
        </w:rPr>
        <w:t xml:space="preserve">Q: </w:t>
      </w:r>
      <w:r>
        <w:rPr>
          <w:i/>
          <w:iCs/>
        </w:rPr>
        <w:t xml:space="preserve">(UPDATED) What stops me from calling your inject endpoint right now and flooding your database?</w:t>
      </w:r>
    </w:p>
    <w:p>
      <w:pPr>
        <w:spacing w:after="40"/>
      </w:pPr>
      <w:r>
        <w:rPr>
          <w:b/>
          <w:bCs/>
          <w:color w:val="15803D"/>
          <w:sz w:val="18"/>
          <w:szCs w:val="18"/>
        </w:rPr>
        <w:t xml:space="preserve">IDEAL ANSWER  </w:t>
      </w:r>
      <w:r>
        <w:t xml:space="preserve">If the deployment hasn't configured a bearer token: nothing new stops you beyond what stopped you in the first edition. If a token IS configured: you'd need it, and you'd be rate-limited even with it. This is a real, working improvement over the first edition's posture, and I'll say plainly that it's still not a production auth system — no per-operator identity, and a client-side token is readable in the page bundle by design, documented as such.</w:t>
      </w:r>
    </w:p>
    <w:p>
      <w:pPr>
        <w:pStyle w:val="Heading3"/>
        <w:spacing w:after="80" w:before="220"/>
      </w:pPr>
      <w:r>
        <w:rPr>
          <w:b/>
          <w:bCs/>
          <w:color w:val="44403C"/>
          <w:sz w:val="21"/>
          <w:szCs w:val="21"/>
        </w:rPr>
        <w:t xml:space="preserve">Novelty</w:t>
      </w:r>
    </w:p>
    <w:p>
      <w:pPr>
        <w:spacing w:after="60" w:before="160"/>
      </w:pPr>
      <w:r>
        <w:rPr>
          <w:b/>
          <w:bCs/>
          <w:color w:val="B45309"/>
        </w:rPr>
        <w:t xml:space="preserve">Q: </w:t>
      </w:r>
      <w:r>
        <w:rPr>
          <w:i/>
          <w:iCs/>
        </w:rPr>
        <w:t xml:space="preserve">Isn't this just Isolation Forest plus a graph library plus some rules now? What did you actually build? (updated)</w:t>
      </w:r>
    </w:p>
    <w:p>
      <w:pPr>
        <w:spacing w:after="40"/>
      </w:pPr>
      <w:r>
        <w:rPr>
          <w:b/>
          <w:bCs/>
          <w:color w:val="15803D"/>
          <w:sz w:val="18"/>
          <w:szCs w:val="18"/>
        </w:rPr>
        <w:t xml:space="preserve">IDEAL ANSWER  </w:t>
      </w:r>
      <w:r>
        <w:t xml:space="preserve">The individual algorithms are standard, including the new ones — a metadata rule engine and a coefficient-of-variation timing check are both textbook techniques, and I won't claim otherwise. What's distinctive is the evaluation methodology, the structural gateway enforcement, and — new this pass — a fusion layer whose precedence rule is a specific, tested engineering decision (never dilute a confirmed signal) rather than the generic "combine more detectors" story. The contribution is the system design and honesty discipline around known techniques.</w:t>
      </w:r>
    </w:p>
    <w:p>
      <w:pPr>
        <w:pStyle w:val="Heading3"/>
        <w:spacing w:after="80" w:before="220"/>
      </w:pPr>
      <w:r>
        <w:rPr>
          <w:b/>
          <w:bCs/>
          <w:color w:val="44403C"/>
          <w:sz w:val="21"/>
          <w:szCs w:val="21"/>
        </w:rPr>
        <w:t xml:space="preserve">Limitations</w:t>
      </w:r>
    </w:p>
    <w:p>
      <w:pPr>
        <w:spacing w:after="60" w:before="160"/>
      </w:pPr>
      <w:r>
        <w:rPr>
          <w:b/>
          <w:bCs/>
          <w:color w:val="B45309"/>
        </w:rPr>
        <w:t xml:space="preserve">Q: </w:t>
      </w:r>
      <w:r>
        <w:rPr>
          <w:i/>
          <w:iCs/>
        </w:rPr>
        <w:t xml:space="preserve">What's the single biggest thing you'd fix with one more week? (updated — pick one and commit to it)</w:t>
      </w:r>
    </w:p>
    <w:p>
      <w:pPr>
        <w:spacing w:after="40"/>
      </w:pPr>
      <w:r>
        <w:rPr>
          <w:b/>
          <w:bCs/>
          <w:color w:val="15803D"/>
          <w:sz w:val="18"/>
          <w:szCs w:val="18"/>
        </w:rPr>
        <w:t xml:space="preserve">IDEAL ANSWER  </w:t>
      </w:r>
      <w:r>
        <w:t xml:space="preserve">Deciding whether and how to turn hybrid_gates_alerts on. The layer has been observable and measured for a full pass now — the next real decision is whether its fused decisions are trustworthy enough to page an operator on their own authority, which needs its own precision/recall re-measurement before flipping that default, not just a code change.</w:t>
      </w:r>
    </w:p>
    <w:p>
      <w:pPr>
        <w:pStyle w:val="Heading1"/>
        <w:pBdr>
          <w:bottom w:val="single" w:color="B45309" w:sz="12" w:space="4"/>
        </w:pBdr>
        <w:spacing w:after="200" w:before="480"/>
      </w:pPr>
      <w:r>
        <w:rPr>
          <w:b/>
          <w:bCs/>
          <w:color w:val="B45309"/>
          <w:sz w:val="30"/>
          <w:szCs w:val="30"/>
        </w:rPr>
        <w:t xml:space="preserve">PART 20 — “Why?” Chains</w:t>
      </w:r>
    </w:p>
    <w:p>
      <w:pPr>
        <w:pStyle w:val="Heading3"/>
        <w:spacing w:after="80" w:before="220"/>
      </w:pPr>
      <w:r>
        <w:rPr>
          <w:b/>
          <w:bCs/>
          <w:color w:val="44403C"/>
          <w:sz w:val="21"/>
          <w:szCs w:val="21"/>
        </w:rPr>
        <w:t xml:space="preserve">Why a Monte Carlo cascade instead of a single deterministic blast-radius number? (unchanged)</w:t>
      </w:r>
    </w:p>
    <w:p>
      <w:pPr>
        <w:spacing w:after="140" w:line="276"/>
      </w:pPr>
      <w:r>
        <w:t xml:space="preserve">Because a single number implies false certainty about probabilistic dependencies. Why does that matter here specifically? Every edge is a hand-curated probability, not a certainty. Why not just the expected value? An operator's real question is “how bad could this get,” not just the average. Why simulate instead of a closed-form model? The dependency structure (redundancy, correlated-but-now-correctly-implemented shares_provider, hop caps) isn't analytically tractable in closed form. </w:t>
      </w:r>
      <w:r>
        <w:rPr>
          <w:b/>
          <w:bCs/>
        </w:rPr>
        <w:t xml:space="preserve">FUNDAMENTAL CONSTRAINT REACHED:</w:t>
      </w:r>
      <w:r>
        <w:t xml:space="preserve"> time budget plus a graph structure that doesn't reduce to simple probability algebra.</w:t>
      </w:r>
    </w:p>
    <w:p>
      <w:pPr>
        <w:pStyle w:val="Heading3"/>
        <w:spacing w:after="80" w:before="220"/>
      </w:pPr>
      <w:r>
        <w:rPr>
          <w:b/>
          <w:bCs/>
          <w:color w:val="44403C"/>
          <w:sz w:val="21"/>
          <w:szCs w:val="21"/>
        </w:rPr>
        <w:t xml:space="preserve">Why does the gateway carry near-zero criticality? (unchanged)</w:t>
      </w:r>
    </w:p>
    <w:p>
      <w:pPr>
        <w:spacing w:after="140" w:line="276"/>
      </w:pPr>
      <w:r>
        <w:t xml:space="preserve">Keeps the CII math clean and the detection-lead-time claim unambiguous. Why does that matter? If the gateway had high criticality, compromising it would inflate every downstream CII score with its own importance, conflating “the chokepoint was hit” with “the chokepoint's own criticality fell over.” Why is that distinction important? The gateway is a detection artifact the team added, not a real city asset. </w:t>
      </w:r>
      <w:r>
        <w:rPr>
          <w:b/>
          <w:bCs/>
        </w:rPr>
        <w:t xml:space="preserve">FUNDAMENTAL CONSTRAINT REACHED:</w:t>
      </w:r>
      <w:r>
        <w:t xml:space="preserve"> keeping a synthetic detection artifact from distorting a real-world risk metric.</w:t>
      </w:r>
    </w:p>
    <w:p>
      <w:pPr>
        <w:pStyle w:val="Heading3"/>
        <w:spacing w:after="80" w:before="220"/>
      </w:pPr>
      <w:r>
        <w:rPr>
          <w:b/>
          <w:bCs/>
          <w:color w:val="44403C"/>
          <w:sz w:val="21"/>
          <w:szCs w:val="21"/>
        </w:rPr>
        <w:t xml:space="preserve">(NEW) Why does a confirmed signal override the fusion math instead of just getting a very high weight?</w:t>
      </w:r>
    </w:p>
    <w:p>
      <w:pPr>
        <w:spacing w:after="140" w:line="276"/>
      </w:pPr>
      <w:r>
        <w:t xml:space="preserve">Because a very high weight is still a weight — it can still be diluted by enough weak evidence in the denominator of an averaging scheme, or in principle by a pathological configuration of the noisy-OR product if someone later added a detector with reliability &gt; 1 by mistake (blocked by validation, but the DESIGN shouldn't depend on that validation catching every future mistake). Why does the distinction matter operationally? A honeytoken touch is not "very likely compromised" — it is compromised, by the credential's own definition. Why not just set its weight to 1.0 and its score to 1.0 and let the math work out? Because with several OTHER detectors also firing at high confidence alongside it, even 1.0 × 1.0 only sets one term of the product to zero (1 − p_i = 0), which does correctly drive the WHOLE product to 1.0 in this specific case — so mathematically the two approaches happen to agree here. The precedence rule is stronger insurance: it makes the guarantee true by construction, independent of whatever the other terms in the product are, rather than true only because the arithmetic currently happens to work out that way. </w:t>
      </w:r>
      <w:r>
        <w:rPr>
          <w:b/>
          <w:bCs/>
        </w:rPr>
        <w:t xml:space="preserve">FUNDAMENTAL CONSTRAINT REACHED:</w:t>
      </w:r>
      <w:r>
        <w:t xml:space="preserve"> a guarantee that depends on “the math currently happens to agree” is not the same guarantee as one that is structurally true, and this is a security property worth the stronger version.</w:t>
      </w:r>
    </w:p>
    <w:p>
      <w:pPr>
        <w:pStyle w:val="Heading3"/>
        <w:spacing w:after="80" w:before="220"/>
      </w:pPr>
      <w:r>
        <w:rPr>
          <w:b/>
          <w:bCs/>
          <w:color w:val="44403C"/>
          <w:sz w:val="21"/>
          <w:szCs w:val="21"/>
        </w:rPr>
        <w:t xml:space="preserve">Why suppress volumetric alerts by default instead of paging on every flagged event? (unchanged)</w:t>
      </w:r>
    </w:p>
    <w:p>
      <w:pPr>
        <w:spacing w:after="140" w:line="276"/>
      </w:pPr>
      <w:r>
        <w:t xml:space="preserve">Because the measured precision is 0.006–0.02; paging on every flag would be almost pure noise. Why not just fix the detector? The root cause is a paradigm mismatch, not a tunable hyperparameter. Why keep it running at all? Still scored and persisted for the record, and the only channel with any chance of flagging a genuinely novel pattern with zero labeled data. </w:t>
      </w:r>
      <w:r>
        <w:rPr>
          <w:b/>
          <w:bCs/>
        </w:rPr>
        <w:t xml:space="preserve">FUNDAMENTAL CONSTRAINT REACHED:</w:t>
      </w:r>
      <w:r>
        <w:t xml:space="preserve"> no unsupervised algorithm can be un-blind to a threat deliberately engineered to look smaller than normal traffic; the honest fix is orthogonal channels (tripwire, now also beaconing), not a better hyperparameter.</w:t>
      </w:r>
    </w:p>
    <w:p>
      <w:pPr>
        <w:pStyle w:val="Heading1"/>
        <w:pBdr>
          <w:bottom w:val="single" w:color="B45309" w:sz="12" w:space="4"/>
        </w:pBdr>
        <w:spacing w:after="200" w:before="480"/>
      </w:pPr>
      <w:r>
        <w:rPr>
          <w:b/>
          <w:bCs/>
          <w:color w:val="B45309"/>
          <w:sz w:val="30"/>
          <w:szCs w:val="30"/>
        </w:rPr>
        <w:t xml:space="preserve">PART 21 — Pitch-Giver Knowledge Base</w:t>
      </w:r>
    </w:p>
    <w:p>
      <w:pPr>
        <w:pStyle w:val="Heading2"/>
        <w:spacing w:after="120" w:before="320"/>
      </w:pPr>
      <w:r>
        <w:rPr>
          <w:b/>
          <w:bCs/>
          <w:sz w:val="24"/>
          <w:szCs w:val="24"/>
        </w:rPr>
        <w:t xml:space="preserve">MUST MEMORIZE — exact numbers you cannot get wrong</w:t>
      </w:r>
    </w:p>
    <w:p>
      <w:pPr>
        <w:pStyle w:val="ListParagraph"/>
        <w:numPr>
          <w:ilvl w:val="0"/>
          <w:numId w:val="1"/>
        </w:numPr>
        <w:spacing w:after="80" w:line="264"/>
      </w:pPr>
      <w:r>
        <w:t xml:space="preserve">Unsupervised IsolationForest on real friday-morning replay: 5 true positives / 811 false positives, precision 0.006 — unchanged</w:t>
      </w:r>
    </w:p>
    <w:p>
      <w:pPr>
        <w:pStyle w:val="ListParagraph"/>
        <w:numPr>
          <w:ilvl w:val="0"/>
          <w:numId w:val="1"/>
        </w:numPr>
        <w:spacing w:after="80" w:line="264"/>
      </w:pPr>
      <w:r>
        <w:t xml:space="preserve">Supervised RandomForest, honest temporal split: AUC 0.847, precision 0.996, recall 0.595 — unchanged, and now confirmed genuinely live-wired (Part 7 correction)</w:t>
      </w:r>
    </w:p>
    <w:p>
      <w:pPr>
        <w:pStyle w:val="ListParagraph"/>
        <w:numPr>
          <w:ilvl w:val="0"/>
          <w:numId w:val="1"/>
        </w:numPr>
        <w:spacing w:after="80" w:line="264"/>
      </w:pPr>
      <w:r>
        <w:t xml:space="preserve">Supervised RandomForest on a novel attack family: precision and recall both 0.000 — unchanged</w:t>
      </w:r>
    </w:p>
    <w:p>
      <w:pPr>
        <w:pStyle w:val="ListParagraph"/>
        <w:numPr>
          <w:ilvl w:val="0"/>
          <w:numId w:val="1"/>
        </w:numPr>
        <w:spacing w:after="80" w:line="264"/>
      </w:pPr>
      <w:r>
        <w:t xml:space="preserve">NEW — Signature engine false-positive rate: 0.56% on 40,000 real flows, down from a measured 20.0% before the direction-bug fix</w:t>
      </w:r>
    </w:p>
    <w:p>
      <w:pPr>
        <w:pStyle w:val="ListParagraph"/>
        <w:numPr>
          <w:ilvl w:val="0"/>
          <w:numId w:val="1"/>
        </w:numPr>
        <w:spacing w:after="80" w:line="264"/>
      </w:pPr>
      <w:r>
        <w:t xml:space="preserve">NEW — Fusion reliability weights: volumetric 0.02, supervised 0.90, tripwire 1.0, signature 0.85, beaconing 0.50 (explicitly unmeasured placeholder)</w:t>
      </w:r>
    </w:p>
    <w:p>
      <w:pPr>
        <w:pStyle w:val="ListParagraph"/>
        <w:numPr>
          <w:ilvl w:val="0"/>
          <w:numId w:val="1"/>
        </w:numPr>
        <w:spacing w:after="80" w:line="264"/>
      </w:pPr>
      <w:r>
        <w:t xml:space="preserve">NEW — Fusion bands: SUSPICIOUS ≥ 0.25, LIKELY ≥ 0.55, CONFIRMED ≥ 0.85; ALERT action at LIKELY or above</w:t>
      </w:r>
    </w:p>
    <w:p>
      <w:pPr>
        <w:pStyle w:val="ListParagraph"/>
        <w:numPr>
          <w:ilvl w:val="0"/>
          <w:numId w:val="1"/>
        </w:numPr>
        <w:spacing w:after="80" w:line="264"/>
      </w:pPr>
      <w:r>
        <w:t xml:space="preserve">Honeytoken tripwire lead time: 58.4s mean, measured on scripted attack timelines, not real capture — re-verified live this pass, unchanged, still say the qualifier every time</w:t>
      </w:r>
    </w:p>
    <w:p>
      <w:pPr>
        <w:pStyle w:val="ListParagraph"/>
        <w:numPr>
          <w:ilvl w:val="0"/>
          <w:numId w:val="1"/>
        </w:numPr>
        <w:spacing w:after="80" w:line="264"/>
      </w:pPr>
      <w:r>
        <w:t xml:space="preserve">Real IP → curated asset resolution: 0 of 20,000 (0.00%) — unchanged</w:t>
      </w:r>
    </w:p>
    <w:p>
      <w:pPr>
        <w:pStyle w:val="ListParagraph"/>
        <w:numPr>
          <w:ilvl w:val="0"/>
          <w:numId w:val="1"/>
        </w:numPr>
        <w:spacing w:after="80" w:line="264"/>
      </w:pPr>
      <w:r>
        <w:t xml:space="preserve">Current dependency graph: 45 curated assets / 63 edges raw; 50 nodes / 75 edges once served live — both correct; the compact frontend view now actually shows all 50, which it previously did not</w:t>
      </w:r>
    </w:p>
    <w:p>
      <w:pPr>
        <w:pStyle w:val="ListParagraph"/>
        <w:numPr>
          <w:ilvl w:val="0"/>
          <w:numId w:val="1"/>
        </w:numPr>
        <w:spacing w:after="80" w:line="264"/>
      </w:pPr>
      <w:r>
        <w:t xml:space="preserve">CII default Monte Carlo iterations: 1,000 per call — unchanged</w:t>
      </w:r>
    </w:p>
    <w:p>
      <w:pPr>
        <w:pStyle w:val="ListParagraph"/>
        <w:numPr>
          <w:ilvl w:val="0"/>
          <w:numId w:val="1"/>
        </w:numPr>
        <w:spacing w:after="80" w:line="264"/>
      </w:pPr>
      <w:r>
        <w:t xml:space="preserve">Canonical schema: 17 columns, v2.0 — unchanged</w:t>
      </w:r>
    </w:p>
    <w:p>
      <w:pPr>
        <w:pStyle w:val="ListParagraph"/>
        <w:numPr>
          <w:ilvl w:val="0"/>
          <w:numId w:val="1"/>
        </w:numPr>
        <w:spacing w:after="80" w:line="264"/>
      </w:pPr>
      <w:r>
        <w:t xml:space="preserve">NEW — Test suite: 680 passed / 0 skipped (live Postgres); 665 passed / 15 skipped (default posture) — up from 538/13</w:t>
      </w:r>
    </w:p>
    <w:p>
      <w:pPr>
        <w:pStyle w:val="ListParagraph"/>
        <w:numPr>
          <w:ilvl w:val="0"/>
          <w:numId w:val="1"/>
        </w:numPr>
        <w:spacing w:after="80" w:line="264"/>
      </w:pPr>
      <w:r>
        <w:t xml:space="preserve">12 REST routes + 1 WebSocket; mutating routes now optionally gated by bearer-token auth + rate limiting (off by default)</w:t>
      </w:r>
    </w:p>
    <w:p>
      <w:pPr>
        <w:pStyle w:val="Heading2"/>
        <w:spacing w:after="120" w:before="320"/>
      </w:pPr>
      <w:r>
        <w:rPr>
          <w:b/>
          <w:bCs/>
          <w:sz w:val="24"/>
          <w:szCs w:val="24"/>
        </w:rPr>
        <w:t xml:space="preserve">SHOULD UNDERSTAND</w:t>
      </w:r>
    </w:p>
    <w:p>
      <w:pPr>
        <w:pStyle w:val="ListParagraph"/>
        <w:numPr>
          <w:ilvl w:val="0"/>
          <w:numId w:val="1"/>
        </w:numPr>
        <w:spacing w:after="80" w:line="264"/>
      </w:pPr>
      <w:r>
        <w:t xml:space="preserve">The full replay→ingest(five detectors + fusion)→broadcast pipeline and which stages are sync/threaded/async</w:t>
      </w:r>
    </w:p>
    <w:p>
      <w:pPr>
        <w:pStyle w:val="ListParagraph"/>
        <w:numPr>
          <w:ilvl w:val="0"/>
          <w:numId w:val="1"/>
        </w:numPr>
        <w:spacing w:after="80" w:line="264"/>
      </w:pPr>
      <w:r>
        <w:t xml:space="preserve">The exact CII Monte Carlo algorithm, the mass-normalization formula, and the now-correct shares_provider correlated draw</w:t>
      </w:r>
    </w:p>
    <w:p>
      <w:pPr>
        <w:pStyle w:val="ListParagraph"/>
        <w:numPr>
          <w:ilvl w:val="0"/>
          <w:numId w:val="1"/>
        </w:numPr>
        <w:spacing w:after="80" w:line="264"/>
      </w:pPr>
      <w:r>
        <w:t xml:space="preserve">Why the gateway is a structural rewrite, not a passive tap</w:t>
      </w:r>
    </w:p>
    <w:p>
      <w:pPr>
        <w:pStyle w:val="ListParagraph"/>
        <w:numPr>
          <w:ilvl w:val="0"/>
          <w:numId w:val="1"/>
        </w:numPr>
        <w:spacing w:after="80" w:line="264"/>
      </w:pPr>
      <w:r>
        <w:t xml:space="preserve">Exactly which of the five channels can currently create an alert, and why hybrid_gates_alerts defaults False</w:t>
      </w:r>
    </w:p>
    <w:p>
      <w:pPr>
        <w:pStyle w:val="ListParagraph"/>
        <w:numPr>
          <w:ilvl w:val="0"/>
          <w:numId w:val="1"/>
        </w:numPr>
        <w:spacing w:after="80" w:line="264"/>
      </w:pPr>
      <w:r>
        <w:t xml:space="preserve">The noisy-OR fusion formula and why it beats majority vote and weighted average for this problem</w:t>
      </w:r>
    </w:p>
    <w:p>
      <w:pPr>
        <w:pStyle w:val="ListParagraph"/>
        <w:numPr>
          <w:ilvl w:val="0"/>
          <w:numId w:val="1"/>
        </w:numPr>
        <w:spacing w:after="80" w:line="264"/>
      </w:pPr>
      <w:r>
        <w:t xml:space="preserve">Why segment-wise recall / row-wise precision was chosen over point-adjust</w:t>
      </w:r>
    </w:p>
    <w:p>
      <w:pPr>
        <w:pStyle w:val="Heading2"/>
        <w:spacing w:after="120" w:before="320"/>
      </w:pPr>
      <w:r>
        <w:rPr>
          <w:b/>
          <w:bCs/>
          <w:sz w:val="24"/>
          <w:szCs w:val="24"/>
        </w:rPr>
        <w:t xml:space="preserve">Vocabulary — updated</w:t>
      </w:r>
    </w:p>
    <w:tbl>
      <w:tblPr>
        <w:tblW w:type="pct" w:w="100%"/>
        <w:tblBorders>
          <w:top w:val="single" w:color="D8CBB0" w:sz="4"/>
          <w:left w:val="single" w:color="D8CBB0" w:sz="4"/>
          <w:bottom w:val="single" w:color="D8CBB0" w:sz="4"/>
          <w:right w:val="single" w:color="D8CBB0" w:sz="4"/>
          <w:insideH w:val="single" w:color="D8CBB0" w:sz="4"/>
          <w:insideV w:val="single" w:color="D8CBB0" w:sz="4"/>
        </w:tblBorders>
      </w:tblPr>
      <w:tblGrid>
        <w:gridCol w:w="100"/>
        <w:gridCol w:w="100"/>
      </w:tblGrid>
      <w:tr>
        <w:trPr>
          <w:tblHeader/>
        </w:trPr>
        <w:tc>
          <w:tcPr>
            <w:tcW w:type="pct" w:w="26%"/>
            <w:shd w:fill="1C1917" w:val="clear"/>
            <w:tcMar>
              <w:top w:type="dxa" w:w="100"/>
              <w:left w:type="dxa" w:w="120"/>
              <w:bottom w:type="dxa" w:w="100"/>
              <w:right w:type="dxa" w:w="120"/>
            </w:tcMar>
            <w:vAlign w:val="center"/>
          </w:tcPr>
          <w:p>
            <w:r>
              <w:rPr>
                <w:b/>
                <w:bCs/>
                <w:color w:val="FFFFFF"/>
                <w:sz w:val="19"/>
                <w:szCs w:val="19"/>
              </w:rPr>
              <w:t xml:space="preserve">Term</w:t>
            </w:r>
          </w:p>
        </w:tc>
        <w:tc>
          <w:tcPr>
            <w:tcW w:type="pct" w:w="74%"/>
            <w:shd w:fill="1C1917" w:val="clear"/>
            <w:tcMar>
              <w:top w:type="dxa" w:w="100"/>
              <w:left w:type="dxa" w:w="120"/>
              <w:bottom w:type="dxa" w:w="100"/>
              <w:right w:type="dxa" w:w="120"/>
            </w:tcMar>
            <w:vAlign w:val="center"/>
          </w:tcPr>
          <w:p>
            <w:r>
              <w:rPr>
                <w:b/>
                <w:bCs/>
                <w:color w:val="FFFFFF"/>
                <w:sz w:val="19"/>
                <w:szCs w:val="19"/>
              </w:rPr>
              <w:t xml:space="preserve">Meaning</w:t>
            </w:r>
          </w:p>
        </w:tc>
      </w:tr>
      <w:tr>
        <w:tc>
          <w:tcPr>
            <w:tcW w:type="pct" w:w="26%"/>
            <w:tcMar>
              <w:top w:type="dxa" w:w="100"/>
              <w:left w:type="dxa" w:w="120"/>
              <w:bottom w:type="dxa" w:w="100"/>
              <w:right w:type="dxa" w:w="120"/>
            </w:tcMar>
            <w:vAlign w:val="center"/>
          </w:tcPr>
          <w:p>
            <w:r>
              <w:rPr>
                <w:sz w:val="20"/>
                <w:szCs w:val="20"/>
              </w:rPr>
              <w:t xml:space="preserve">CII</w:t>
            </w:r>
          </w:p>
        </w:tc>
        <w:tc>
          <w:tcPr>
            <w:tcW w:type="pct" w:w="74%"/>
            <w:tcMar>
              <w:top w:type="dxa" w:w="100"/>
              <w:left w:type="dxa" w:w="120"/>
              <w:bottom w:type="dxa" w:w="100"/>
              <w:right w:type="dxa" w:w="120"/>
            </w:tcMar>
            <w:vAlign w:val="center"/>
          </w:tcPr>
          <w:p>
            <w:r>
              <w:rPr>
                <w:sz w:val="20"/>
                <w:szCs w:val="20"/>
              </w:rPr>
              <w:t xml:space="preserve">Cascading Impact Index — the Monte Carlo blast-radius score, reported as median/p5/p95</w:t>
            </w:r>
          </w:p>
        </w:tc>
      </w:tr>
      <w:tr>
        <w:tc>
          <w:tcPr>
            <w:tcW w:type="pct" w:w="26%"/>
            <w:shd w:fill="F5F0E8" w:val="clear"/>
            <w:tcMar>
              <w:top w:type="dxa" w:w="100"/>
              <w:left w:type="dxa" w:w="120"/>
              <w:bottom w:type="dxa" w:w="100"/>
              <w:right w:type="dxa" w:w="120"/>
            </w:tcMar>
            <w:vAlign w:val="center"/>
          </w:tcPr>
          <w:p>
            <w:r>
              <w:rPr>
                <w:sz w:val="20"/>
                <w:szCs w:val="20"/>
              </w:rPr>
              <w:t xml:space="preserve">Gateway node</w:t>
            </w:r>
          </w:p>
        </w:tc>
        <w:tc>
          <w:tcPr>
            <w:tcW w:type="pct" w:w="74%"/>
            <w:shd w:fill="F5F0E8" w:val="clear"/>
            <w:tcMar>
              <w:top w:type="dxa" w:w="100"/>
              <w:left w:type="dxa" w:w="120"/>
              <w:bottom w:type="dxa" w:w="100"/>
              <w:right w:type="dxa" w:w="120"/>
            </w:tcMar>
            <w:vAlign w:val="center"/>
          </w:tcPr>
          <w:p>
            <w:r>
              <w:rPr>
                <w:sz w:val="20"/>
                <w:szCs w:val="20"/>
              </w:rPr>
              <w:t xml:space="preserve">Synthetic per-Purdue-zone node every path to a high-criticality asset is rewritten through</w:t>
            </w:r>
          </w:p>
        </w:tc>
      </w:tr>
      <w:tr>
        <w:tc>
          <w:tcPr>
            <w:tcW w:type="pct" w:w="26%"/>
            <w:tcMar>
              <w:top w:type="dxa" w:w="100"/>
              <w:left w:type="dxa" w:w="120"/>
              <w:bottom w:type="dxa" w:w="100"/>
              <w:right w:type="dxa" w:w="120"/>
            </w:tcMar>
            <w:vAlign w:val="center"/>
          </w:tcPr>
          <w:p>
            <w:r>
              <w:rPr>
                <w:sz w:val="20"/>
                <w:szCs w:val="20"/>
              </w:rPr>
              <w:t xml:space="preserve">Tripwire</w:t>
            </w:r>
          </w:p>
        </w:tc>
        <w:tc>
          <w:tcPr>
            <w:tcW w:type="pct" w:w="74%"/>
            <w:tcMar>
              <w:top w:type="dxa" w:w="100"/>
              <w:left w:type="dxa" w:w="120"/>
              <w:bottom w:type="dxa" w:w="100"/>
              <w:right w:type="dxa" w:w="120"/>
            </w:tcMar>
            <w:vAlign w:val="center"/>
          </w:tcPr>
          <w:p>
            <w:r>
              <w:rPr>
                <w:sz w:val="20"/>
                <w:szCs w:val="20"/>
              </w:rPr>
              <w:t xml:space="preserve">The honeytoken-based deception detector; the only Certainty.CONFIRMED source in the fusion layer</w:t>
            </w:r>
          </w:p>
        </w:tc>
      </w:tr>
      <w:tr>
        <w:tc>
          <w:tcPr>
            <w:tcW w:type="pct" w:w="26%"/>
            <w:shd w:fill="F5F0E8" w:val="clear"/>
            <w:tcMar>
              <w:top w:type="dxa" w:w="100"/>
              <w:left w:type="dxa" w:w="120"/>
              <w:bottom w:type="dxa" w:w="100"/>
              <w:right w:type="dxa" w:w="120"/>
            </w:tcMar>
            <w:vAlign w:val="center"/>
          </w:tcPr>
          <w:p>
            <w:r>
              <w:rPr>
                <w:sz w:val="20"/>
                <w:szCs w:val="20"/>
              </w:rPr>
              <w:t xml:space="preserve">FusedDecision</w:t>
            </w:r>
          </w:p>
        </w:tc>
        <w:tc>
          <w:tcPr>
            <w:tcW w:type="pct" w:w="74%"/>
            <w:shd w:fill="F5F0E8" w:val="clear"/>
            <w:tcMar>
              <w:top w:type="dxa" w:w="100"/>
              <w:left w:type="dxa" w:w="120"/>
              <w:bottom w:type="dxa" w:w="100"/>
              <w:right w:type="dxa" w:w="120"/>
            </w:tcMar>
            <w:vAlign w:val="center"/>
          </w:tcPr>
          <w:p>
            <w:r>
              <w:rPr>
                <w:sz w:val="20"/>
                <w:szCs w:val="20"/>
              </w:rPr>
              <w:t xml:space="preserve">NEW — the fusion engine's one output per flow: a threat_score, band, action, rationale, and the full list of contributing verdicts</w:t>
            </w:r>
          </w:p>
        </w:tc>
      </w:tr>
      <w:tr>
        <w:tc>
          <w:tcPr>
            <w:tcW w:type="pct" w:w="26%"/>
            <w:tcMar>
              <w:top w:type="dxa" w:w="100"/>
              <w:left w:type="dxa" w:w="120"/>
              <w:bottom w:type="dxa" w:w="100"/>
              <w:right w:type="dxa" w:w="120"/>
            </w:tcMar>
            <w:vAlign w:val="center"/>
          </w:tcPr>
          <w:p>
            <w:r>
              <w:rPr>
                <w:sz w:val="20"/>
                <w:szCs w:val="20"/>
              </w:rPr>
              <w:t xml:space="preserve">hybrid_gates_alerts</w:t>
            </w:r>
          </w:p>
        </w:tc>
        <w:tc>
          <w:tcPr>
            <w:tcW w:type="pct" w:w="74%"/>
            <w:tcMar>
              <w:top w:type="dxa" w:w="100"/>
              <w:left w:type="dxa" w:w="120"/>
              <w:bottom w:type="dxa" w:w="100"/>
              <w:right w:type="dxa" w:w="120"/>
            </w:tcMar>
            <w:vAlign w:val="center"/>
          </w:tcPr>
          <w:p>
            <w:r>
              <w:rPr>
                <w:sz w:val="20"/>
                <w:szCs w:val="20"/>
              </w:rPr>
              <w:t xml:space="preserve">NEW — the setting deciding whether the fused decision can create an alert on its own authority. False by default.</w:t>
            </w:r>
          </w:p>
        </w:tc>
      </w:tr>
      <w:tr>
        <w:tc>
          <w:tcPr>
            <w:tcW w:type="pct" w:w="26%"/>
            <w:shd w:fill="F5F0E8" w:val="clear"/>
            <w:tcMar>
              <w:top w:type="dxa" w:w="100"/>
              <w:left w:type="dxa" w:w="120"/>
              <w:bottom w:type="dxa" w:w="100"/>
              <w:right w:type="dxa" w:w="120"/>
            </w:tcMar>
            <w:vAlign w:val="center"/>
          </w:tcPr>
          <w:p>
            <w:r>
              <w:rPr>
                <w:sz w:val="20"/>
                <w:szCs w:val="20"/>
              </w:rPr>
              <w:t xml:space="preserve">Certainty.CONFIRMED / .HEURISTIC</w:t>
            </w:r>
          </w:p>
        </w:tc>
        <w:tc>
          <w:tcPr>
            <w:tcW w:type="pct" w:w="74%"/>
            <w:shd w:fill="F5F0E8" w:val="clear"/>
            <w:tcMar>
              <w:top w:type="dxa" w:w="100"/>
              <w:left w:type="dxa" w:w="120"/>
              <w:bottom w:type="dxa" w:w="100"/>
              <w:right w:type="dxa" w:w="120"/>
            </w:tcMar>
            <w:vAlign w:val="center"/>
          </w:tcPr>
          <w:p>
            <w:r>
              <w:rPr>
                <w:sz w:val="20"/>
                <w:szCs w:val="20"/>
              </w:rPr>
              <w:t xml:space="preserve">NEW — whether a verdict can be diluted by fusion (HEURISTIC) or overrides it outright (CONFIRMED)</w:t>
            </w:r>
          </w:p>
        </w:tc>
      </w:tr>
      <w:tr>
        <w:tc>
          <w:tcPr>
            <w:tcW w:type="pct" w:w="26%"/>
            <w:tcMar>
              <w:top w:type="dxa" w:w="100"/>
              <w:left w:type="dxa" w:w="120"/>
              <w:bottom w:type="dxa" w:w="100"/>
              <w:right w:type="dxa" w:w="120"/>
            </w:tcMar>
            <w:vAlign w:val="center"/>
          </w:tcPr>
          <w:p>
            <w:r>
              <w:rPr>
                <w:sz w:val="20"/>
                <w:szCs w:val="20"/>
              </w:rPr>
              <w:t xml:space="preserve">batch_origin</w:t>
            </w:r>
          </w:p>
        </w:tc>
        <w:tc>
          <w:tcPr>
            <w:tcW w:type="pct" w:w="74%"/>
            <w:tcMar>
              <w:top w:type="dxa" w:w="100"/>
              <w:left w:type="dxa" w:w="120"/>
              <w:bottom w:type="dxa" w:w="100"/>
              <w:right w:type="dxa" w:w="120"/>
            </w:tcMar>
            <w:vAlign w:val="center"/>
          </w:tcPr>
          <w:p>
            <w:r>
              <w:rPr>
                <w:sz w:val="20"/>
                <w:szCs w:val="20"/>
              </w:rPr>
              <w:t xml:space="preserve">Tag on every live event: replay (observed) or injected (operator what-if)</w:t>
            </w:r>
          </w:p>
        </w:tc>
      </w:tr>
      <w:tr>
        <w:tc>
          <w:tcPr>
            <w:tcW w:type="pct" w:w="26%"/>
            <w:shd w:fill="F5F0E8" w:val="clear"/>
            <w:tcMar>
              <w:top w:type="dxa" w:w="100"/>
              <w:left w:type="dxa" w:w="120"/>
              <w:bottom w:type="dxa" w:w="100"/>
              <w:right w:type="dxa" w:w="120"/>
            </w:tcMar>
            <w:vAlign w:val="center"/>
          </w:tcPr>
          <w:p>
            <w:r>
              <w:rPr>
                <w:sz w:val="20"/>
                <w:szCs w:val="20"/>
              </w:rPr>
              <w:t xml:space="preserve">Point-adjust</w:t>
            </w:r>
          </w:p>
        </w:tc>
        <w:tc>
          <w:tcPr>
            <w:tcW w:type="pct" w:w="74%"/>
            <w:shd w:fill="F5F0E8" w:val="clear"/>
            <w:tcMar>
              <w:top w:type="dxa" w:w="100"/>
              <w:left w:type="dxa" w:w="120"/>
              <w:bottom w:type="dxa" w:w="100"/>
              <w:right w:type="dxa" w:w="120"/>
            </w:tcMar>
            <w:vAlign w:val="center"/>
          </w:tcPr>
          <w:p>
            <w:r>
              <w:rPr>
                <w:sz w:val="20"/>
                <w:szCs w:val="20"/>
              </w:rPr>
              <w:t xml:space="preserve">The rejected time-series scoring trick that credits an entire attack segment for one flagged row</w:t>
            </w:r>
          </w:p>
        </w:tc>
      </w:tr>
      <w:tr>
        <w:tc>
          <w:tcPr>
            <w:tcW w:type="pct" w:w="26%"/>
            <w:tcMar>
              <w:top w:type="dxa" w:w="100"/>
              <w:left w:type="dxa" w:w="120"/>
              <w:bottom w:type="dxa" w:w="100"/>
              <w:right w:type="dxa" w:w="120"/>
            </w:tcMar>
            <w:vAlign w:val="center"/>
          </w:tcPr>
          <w:p>
            <w:r>
              <w:rPr>
                <w:sz w:val="20"/>
                <w:szCs w:val="20"/>
              </w:rPr>
              <w:t xml:space="preserve">K8</w:t>
            </w:r>
          </w:p>
        </w:tc>
        <w:tc>
          <w:tcPr>
            <w:tcW w:type="pct" w:w="74%"/>
            <w:tcMar>
              <w:top w:type="dxa" w:w="100"/>
              <w:left w:type="dxa" w:w="120"/>
              <w:bottom w:type="dxa" w:w="100"/>
              <w:right w:type="dxa" w:w="120"/>
            </w:tcMar>
            <w:vAlign w:val="center"/>
          </w:tcPr>
          <w:p>
            <w:r>
              <w:rPr>
                <w:sz w:val="20"/>
                <w:szCs w:val="20"/>
              </w:rPr>
              <w:t xml:space="preserve">The project's internal name for the “0% real-IP-to-asset resolution” finding</w:t>
            </w:r>
          </w:p>
        </w:tc>
      </w:tr>
    </w:tbl>
    <w:p>
      <w:pPr>
        <w:pStyle w:val="Heading1"/>
        <w:pBdr>
          <w:bottom w:val="single" w:color="B45309" w:sz="12" w:space="4"/>
        </w:pBdr>
        <w:spacing w:after="200" w:before="480"/>
      </w:pPr>
      <w:r>
        <w:rPr>
          <w:b/>
          <w:bCs/>
          <w:color w:val="B45309"/>
          <w:sz w:val="30"/>
          <w:szCs w:val="30"/>
        </w:rPr>
        <w:t xml:space="preserve">PART 22 — Red Flags</w:t>
      </w:r>
    </w:p>
    <w:p>
      <w:pPr>
        <w:spacing w:after="140" w:line="276"/>
      </w:pPr>
      <w:r>
        <w:t xml:space="preserve">How to answer each honestly without volunteering more exposure than necessary — the goal is credibility, not confession.</w:t>
      </w:r>
    </w:p>
    <w:tbl>
      <w:tblPr>
        <w:tblW w:type="pct" w:w="100%"/>
        <w:tblBorders>
          <w:top w:val="single" w:color="D8CBB0" w:sz="4"/>
          <w:left w:val="single" w:color="D8CBB0" w:sz="4"/>
          <w:bottom w:val="single" w:color="D8CBB0" w:sz="4"/>
          <w:right w:val="single" w:color="D8CBB0" w:sz="4"/>
          <w:insideH w:val="single" w:color="D8CBB0" w:sz="4"/>
          <w:insideV w:val="single" w:color="D8CBB0" w:sz="4"/>
        </w:tblBorders>
      </w:tblPr>
      <w:tblGrid>
        <w:gridCol w:w="100"/>
        <w:gridCol w:w="100"/>
      </w:tblGrid>
      <w:tr>
        <w:trPr>
          <w:tblHeader/>
        </w:trPr>
        <w:tc>
          <w:tcPr>
            <w:tcW w:type="pct" w:w="40%"/>
            <w:shd w:fill="1C1917" w:val="clear"/>
            <w:tcMar>
              <w:top w:type="dxa" w:w="100"/>
              <w:left w:type="dxa" w:w="120"/>
              <w:bottom w:type="dxa" w:w="100"/>
              <w:right w:type="dxa" w:w="120"/>
            </w:tcMar>
            <w:vAlign w:val="center"/>
          </w:tcPr>
          <w:p>
            <w:r>
              <w:rPr>
                <w:b/>
                <w:bCs/>
                <w:color w:val="FFFFFF"/>
                <w:sz w:val="19"/>
                <w:szCs w:val="19"/>
              </w:rPr>
              <w:t xml:space="preserve">Red flag</w:t>
            </w:r>
          </w:p>
        </w:tc>
        <w:tc>
          <w:tcPr>
            <w:tcW w:type="pct" w:w="60%"/>
            <w:shd w:fill="1C1917" w:val="clear"/>
            <w:tcMar>
              <w:top w:type="dxa" w:w="100"/>
              <w:left w:type="dxa" w:w="120"/>
              <w:bottom w:type="dxa" w:w="100"/>
              <w:right w:type="dxa" w:w="120"/>
            </w:tcMar>
            <w:vAlign w:val="center"/>
          </w:tcPr>
          <w:p>
            <w:r>
              <w:rPr>
                <w:b/>
                <w:bCs/>
                <w:color w:val="FFFFFF"/>
                <w:sz w:val="19"/>
                <w:szCs w:val="19"/>
              </w:rPr>
              <w:t xml:space="preserve">How to defuse it</w:t>
            </w:r>
          </w:p>
        </w:tc>
      </w:tr>
      <w:tr>
        <w:tc>
          <w:tcPr>
            <w:tcW w:type="pct" w:w="40%"/>
            <w:tcMar>
              <w:top w:type="dxa" w:w="100"/>
              <w:left w:type="dxa" w:w="120"/>
              <w:bottom w:type="dxa" w:w="100"/>
              <w:right w:type="dxa" w:w="120"/>
            </w:tcMar>
            <w:vAlign w:val="center"/>
          </w:tcPr>
          <w:p>
            <w:r>
              <w:rPr>
                <w:sz w:val="20"/>
                <w:szCs w:val="20"/>
              </w:rPr>
              <w:t xml:space="preserve">“Five detection channels, correlated by fusion” could read as five channels all paging</w:t>
            </w:r>
          </w:p>
        </w:tc>
        <w:tc>
          <w:tcPr>
            <w:tcW w:type="pct" w:w="60%"/>
            <w:tcMar>
              <w:top w:type="dxa" w:w="100"/>
              <w:left w:type="dxa" w:w="120"/>
              <w:bottom w:type="dxa" w:w="100"/>
              <w:right w:type="dxa" w:w="120"/>
            </w:tcMar>
            <w:vAlign w:val="center"/>
          </w:tcPr>
          <w:p>
            <w:r>
              <w:rPr>
                <w:sz w:val="20"/>
                <w:szCs w:val="20"/>
              </w:rPr>
              <w:t xml:space="preserve">State proactively: tripwire always can; the existing volumetric/supervised-informed policy can; the hybrid layer's own fused authority currently cannot, by explicit stated default. Framed as engineering discipline, not a gap.</w:t>
            </w:r>
          </w:p>
        </w:tc>
      </w:tr>
      <w:tr>
        <w:tc>
          <w:tcPr>
            <w:tcW w:type="pct" w:w="40%"/>
            <w:shd w:fill="F5F0E8" w:val="clear"/>
            <w:tcMar>
              <w:top w:type="dxa" w:w="100"/>
              <w:left w:type="dxa" w:w="120"/>
              <w:bottom w:type="dxa" w:w="100"/>
              <w:right w:type="dxa" w:w="120"/>
            </w:tcMar>
            <w:vAlign w:val="center"/>
          </w:tcPr>
          <w:p>
            <w:r>
              <w:rPr>
                <w:sz w:val="20"/>
                <w:szCs w:val="20"/>
              </w:rPr>
              <w:t xml:space="preserve">The hybrid layer can't demonstrate paging an operator live</w:t>
            </w:r>
          </w:p>
        </w:tc>
        <w:tc>
          <w:tcPr>
            <w:tcW w:type="pct" w:w="60%"/>
            <w:shd w:fill="F5F0E8" w:val="clear"/>
            <w:tcMar>
              <w:top w:type="dxa" w:w="100"/>
              <w:left w:type="dxa" w:w="120"/>
              <w:bottom w:type="dxa" w:w="100"/>
              <w:right w:type="dxa" w:w="120"/>
            </w:tcMar>
            <w:vAlign w:val="center"/>
          </w:tcPr>
          <w:p>
            <w:r>
              <w:rPr>
                <w:sz w:val="20"/>
                <w:szCs w:val="20"/>
              </w:rPr>
              <w:t xml:space="preserve">Say it before being asked: hybrid_gates_alerts is off by default because turning it on is a policy decision requiring its own measurement, and every published alert/risk figure was measured under the pre-hybrid policy. You CAN show it firing silently in the event feed.</w:t>
            </w:r>
          </w:p>
        </w:tc>
      </w:tr>
      <w:tr>
        <w:tc>
          <w:tcPr>
            <w:tcW w:type="pct" w:w="40%"/>
            <w:tcMar>
              <w:top w:type="dxa" w:w="100"/>
              <w:left w:type="dxa" w:w="120"/>
              <w:bottom w:type="dxa" w:w="100"/>
              <w:right w:type="dxa" w:w="120"/>
            </w:tcMar>
            <w:vAlign w:val="center"/>
          </w:tcPr>
          <w:p>
            <w:r>
              <w:rPr>
                <w:sz w:val="20"/>
                <w:szCs w:val="20"/>
              </w:rPr>
              <w:t xml:space="preserve">The signature engine had a 20% false-positive bug during development</w:t>
            </w:r>
          </w:p>
        </w:tc>
        <w:tc>
          <w:tcPr>
            <w:tcW w:type="pct" w:w="60%"/>
            <w:tcMar>
              <w:top w:type="dxa" w:w="100"/>
              <w:left w:type="dxa" w:w="120"/>
              <w:bottom w:type="dxa" w:w="100"/>
              <w:right w:type="dxa" w:w="120"/>
            </w:tcMar>
            <w:vAlign w:val="center"/>
          </w:tcPr>
          <w:p>
            <w:r>
              <w:rPr>
                <w:sz w:val="20"/>
                <w:szCs w:val="20"/>
              </w:rPr>
              <w:t xml:space="preserve">Lead with it if evaluation methodology comes up — a published, measured, fixed bug with two regression tests reads as far more credible than a claim of a clean build. Say exactly what the two distinct bugs were and how re-measurement caught the second one.</w:t>
            </w:r>
          </w:p>
        </w:tc>
      </w:tr>
      <w:tr>
        <w:tc>
          <w:tcPr>
            <w:tcW w:type="pct" w:w="40%"/>
            <w:shd w:fill="F5F0E8" w:val="clear"/>
            <w:tcMar>
              <w:top w:type="dxa" w:w="100"/>
              <w:left w:type="dxa" w:w="120"/>
              <w:bottom w:type="dxa" w:w="100"/>
              <w:right w:type="dxa" w:w="120"/>
            </w:tcMar>
            <w:vAlign w:val="center"/>
          </w:tcPr>
          <w:p>
            <w:r>
              <w:rPr>
                <w:sz w:val="20"/>
                <w:szCs w:val="20"/>
              </w:rPr>
              <w:t xml:space="preserve">No authentication by default, even though the capability now exists</w:t>
            </w:r>
          </w:p>
        </w:tc>
        <w:tc>
          <w:tcPr>
            <w:tcW w:type="pct" w:w="60%"/>
            <w:shd w:fill="F5F0E8" w:val="clear"/>
            <w:tcMar>
              <w:top w:type="dxa" w:w="100"/>
              <w:left w:type="dxa" w:w="120"/>
              <w:bottom w:type="dxa" w:w="100"/>
              <w:right w:type="dxa" w:w="120"/>
            </w:tcMar>
            <w:vAlign w:val="center"/>
          </w:tcPr>
          <w:p>
            <w:r>
              <w:rPr>
                <w:sz w:val="20"/>
                <w:szCs w:val="20"/>
              </w:rPr>
              <w:t xml:space="preserve">Say it before being asked: off by default preserves the loopback-first demo posture; an operator opts in. Not a production auth system either way, and say that too.</w:t>
            </w:r>
          </w:p>
        </w:tc>
      </w:tr>
      <w:tr>
        <w:tc>
          <w:tcPr>
            <w:tcW w:type="pct" w:w="40%"/>
            <w:tcMar>
              <w:top w:type="dxa" w:w="100"/>
              <w:left w:type="dxa" w:w="120"/>
              <w:bottom w:type="dxa" w:w="100"/>
              <w:right w:type="dxa" w:w="120"/>
            </w:tcMar>
            <w:vAlign w:val="center"/>
          </w:tcPr>
          <w:p>
            <w:r>
              <w:rPr>
                <w:sz w:val="20"/>
                <w:szCs w:val="20"/>
              </w:rPr>
              <w:t xml:space="preserve">Stale docs / internal contradictions</w:t>
            </w:r>
          </w:p>
        </w:tc>
        <w:tc>
          <w:tcPr>
            <w:tcW w:type="pct" w:w="60%"/>
            <w:tcMar>
              <w:top w:type="dxa" w:w="100"/>
              <w:left w:type="dxa" w:w="120"/>
              <w:bottom w:type="dxa" w:w="100"/>
              <w:right w:type="dxa" w:w="120"/>
            </w:tcMar>
            <w:vAlign w:val="center"/>
          </w:tcPr>
          <w:p>
            <w:r>
              <w:rPr>
                <w:sz w:val="20"/>
                <w:szCs w:val="20"/>
              </w:rPr>
              <w:t xml:space="preserve">Unchanged: cite the project's own stated policy — code is authoritative, stale docs are a known and tracked failure mode.</w:t>
            </w:r>
          </w:p>
        </w:tc>
      </w:tr>
      <w:tr>
        <w:tc>
          <w:tcPr>
            <w:tcW w:type="pct" w:w="40%"/>
            <w:shd w:fill="F5F0E8" w:val="clear"/>
            <w:tcMar>
              <w:top w:type="dxa" w:w="100"/>
              <w:left w:type="dxa" w:w="120"/>
              <w:bottom w:type="dxa" w:w="100"/>
              <w:right w:type="dxa" w:w="120"/>
            </w:tcMar>
            <w:vAlign w:val="center"/>
          </w:tcPr>
          <w:p>
            <w:r>
              <w:rPr>
                <w:sz w:val="20"/>
                <w:szCs w:val="20"/>
              </w:rPr>
              <w:t xml:space="preserve">Weak unsupervised-detector precision</w:t>
            </w:r>
          </w:p>
        </w:tc>
        <w:tc>
          <w:tcPr>
            <w:tcW w:type="pct" w:w="60%"/>
            <w:shd w:fill="F5F0E8" w:val="clear"/>
            <w:tcMar>
              <w:top w:type="dxa" w:w="100"/>
              <w:left w:type="dxa" w:w="120"/>
              <w:bottom w:type="dxa" w:w="100"/>
              <w:right w:type="dxa" w:w="120"/>
            </w:tcMar>
            <w:vAlign w:val="center"/>
          </w:tcPr>
          <w:p>
            <w:r>
              <w:rPr>
                <w:sz w:val="20"/>
                <w:szCs w:val="20"/>
              </w:rPr>
              <w:t xml:space="preserve">Unchanged: lead with it, don't wait to be caught.</w:t>
            </w:r>
          </w:p>
        </w:tc>
      </w:tr>
      <w:tr>
        <w:tc>
          <w:tcPr>
            <w:tcW w:type="pct" w:w="40%"/>
            <w:tcMar>
              <w:top w:type="dxa" w:w="100"/>
              <w:left w:type="dxa" w:w="120"/>
              <w:bottom w:type="dxa" w:w="100"/>
              <w:right w:type="dxa" w:w="120"/>
            </w:tcMar>
            <w:vAlign w:val="center"/>
          </w:tcPr>
          <w:p>
            <w:r>
              <w:rPr>
                <w:sz w:val="20"/>
                <w:szCs w:val="20"/>
              </w:rPr>
              <w:t xml:space="preserve">“58.4 second lead time” sounding like a live-traffic result</w:t>
            </w:r>
          </w:p>
        </w:tc>
        <w:tc>
          <w:tcPr>
            <w:tcW w:type="pct" w:w="60%"/>
            <w:tcMar>
              <w:top w:type="dxa" w:w="100"/>
              <w:left w:type="dxa" w:w="120"/>
              <w:bottom w:type="dxa" w:w="100"/>
              <w:right w:type="dxa" w:w="120"/>
            </w:tcMar>
            <w:vAlign w:val="center"/>
          </w:tcPr>
          <w:p>
            <w:r>
              <w:rPr>
                <w:sz w:val="20"/>
                <w:szCs w:val="20"/>
              </w:rPr>
              <w:t xml:space="preserve">Unchanged: always attach the qualifier — measured on scripted attack timelines.</w:t>
            </w:r>
          </w:p>
        </w:tc>
      </w:tr>
      <w:tr>
        <w:tc>
          <w:tcPr>
            <w:tcW w:type="pct" w:w="40%"/>
            <w:shd w:fill="F5F0E8" w:val="clear"/>
            <w:tcMar>
              <w:top w:type="dxa" w:w="100"/>
              <w:left w:type="dxa" w:w="120"/>
              <w:bottom w:type="dxa" w:w="100"/>
              <w:right w:type="dxa" w:w="120"/>
            </w:tcMar>
            <w:vAlign w:val="center"/>
          </w:tcPr>
          <w:p>
            <w:r>
              <w:rPr>
                <w:sz w:val="20"/>
                <w:szCs w:val="20"/>
              </w:rPr>
              <w:t xml:space="preserve">Beaconing detector's weight is an admitted placeholder, not a measured calibration</w:t>
            </w:r>
          </w:p>
        </w:tc>
        <w:tc>
          <w:tcPr>
            <w:tcW w:type="pct" w:w="60%"/>
            <w:shd w:fill="F5F0E8" w:val="clear"/>
            <w:tcMar>
              <w:top w:type="dxa" w:w="100"/>
              <w:left w:type="dxa" w:w="120"/>
              <w:bottom w:type="dxa" w:w="100"/>
              <w:right w:type="dxa" w:w="120"/>
            </w:tcMar>
            <w:vAlign w:val="center"/>
          </w:tcPr>
          <w:p>
            <w:r>
              <w:rPr>
                <w:sz w:val="20"/>
                <w:szCs w:val="20"/>
              </w:rPr>
              <w:t xml:space="preserve">Say so plainly if the fusion weights come up — it's disclosed in the setting's own docstring, and pretending otherwise would be exactly the kind of overclaim this whole document argues against making.</w:t>
            </w:r>
          </w:p>
        </w:tc>
      </w:tr>
    </w:tbl>
    <w:p>
      <w:pPr>
        <w:pStyle w:val="Heading1"/>
        <w:pBdr>
          <w:bottom w:val="single" w:color="B45309" w:sz="12" w:space="4"/>
        </w:pBdr>
        <w:spacing w:after="200" w:before="480"/>
      </w:pPr>
      <w:r>
        <w:rPr>
          <w:b/>
          <w:bCs/>
          <w:color w:val="B45309"/>
          <w:sz w:val="30"/>
          <w:szCs w:val="30"/>
        </w:rPr>
        <w:t xml:space="preserve">PART 23 — Final Technical Brief</w:t>
      </w:r>
    </w:p>
    <w:p>
      <w:pPr>
        <w:spacing w:after="40" w:before="140"/>
      </w:pPr>
      <w:r>
        <w:rPr>
          <w:b/>
          <w:bCs/>
          <w:color w:val="B45309"/>
        </w:rPr>
        <w:t xml:space="preserve">1. What are we building?</w:t>
      </w:r>
    </w:p>
    <w:p>
      <w:pPr>
        <w:spacing w:after="140" w:line="276"/>
      </w:pPr>
      <w:r>
        <w:t xml:space="preserve">A cyber-physical risk platform for a simulated smart city: real-traffic anomaly detection across five correlated detection channels, plus a Monte Carlo blast-radius simulator over a curated asset dependency graph, delivered as two consoles sharing one engine.</w:t>
      </w:r>
    </w:p>
    <w:p>
      <w:pPr>
        <w:spacing w:after="40" w:before="140"/>
      </w:pPr>
      <w:r>
        <w:rPr>
          <w:b/>
          <w:bCs/>
          <w:color w:val="B45309"/>
        </w:rPr>
        <w:t xml:space="preserve">2. Why does it exist?</w:t>
      </w:r>
    </w:p>
    <w:p>
      <w:pPr>
        <w:spacing w:after="140" w:line="276"/>
      </w:pPr>
      <w:r>
        <w:t xml:space="preserve">Answering a hackathon brief on AI-driven cyber risk detection for smart-city infrastructure, with SDG 9/11 framing. Unchanged.</w:t>
      </w:r>
    </w:p>
    <w:p>
      <w:pPr>
        <w:spacing w:after="40" w:before="140"/>
      </w:pPr>
      <w:r>
        <w:rPr>
          <w:b/>
          <w:bCs/>
          <w:color w:val="B45309"/>
        </w:rPr>
        <w:t xml:space="preserve">3. What exact problem does it solve?</w:t>
      </w:r>
    </w:p>
    <w:p>
      <w:pPr>
        <w:spacing w:after="140" w:line="276"/>
      </w:pPr>
      <w:r>
        <w:t xml:space="preserve">Two questions an operator otherwise can't answer quantitatively: is this event anomalous, and if it's real, how far does it spread. Unchanged.</w:t>
      </w:r>
    </w:p>
    <w:p>
      <w:pPr>
        <w:spacing w:after="40" w:before="140"/>
      </w:pPr>
      <w:r>
        <w:rPr>
          <w:b/>
          <w:bCs/>
          <w:color w:val="B45309"/>
        </w:rPr>
        <w:t xml:space="preserve">4. How does the complete system work?</w:t>
      </w:r>
    </w:p>
    <w:p>
      <w:pPr>
        <w:spacing w:after="140" w:line="276"/>
      </w:pPr>
      <w:r>
        <w:t xml:space="preserve">Real CIC-IDS2017 traffic replayed in chronological order → scored by five detectors (Isolation Forest, Random Forest, honeytoken tripwire, a signature-rule engine, a temporal beaconing detector) whose verdicts are fused into one decision → persisted to Postgres → streamed via WebSocket → rendered live, with any qualifying anomaly triggering a 1,000-iteration Monte Carlo cascade.</w:t>
      </w:r>
    </w:p>
    <w:p>
      <w:pPr>
        <w:spacing w:after="40" w:before="140"/>
      </w:pPr>
      <w:r>
        <w:rPr>
          <w:b/>
          <w:bCs/>
          <w:color w:val="B45309"/>
        </w:rPr>
        <w:t xml:space="preserve">5. What data enters the system?</w:t>
      </w:r>
    </w:p>
    <w:p>
      <w:pPr>
        <w:spacing w:after="140" w:line="276"/>
      </w:pPr>
      <w:r>
        <w:t xml:space="preserve">Real captured CIC-IDS2017 network flows (live path); PaySim and SWaT in the Research Console only. Unchanged.</w:t>
      </w:r>
    </w:p>
    <w:p>
      <w:pPr>
        <w:spacing w:after="40" w:before="140"/>
      </w:pPr>
      <w:r>
        <w:rPr>
          <w:b/>
          <w:bCs/>
          <w:color w:val="B45309"/>
        </w:rPr>
        <w:t xml:space="preserve">6. What happens to the data?</w:t>
      </w:r>
    </w:p>
    <w:p>
      <w:pPr>
        <w:spacing w:after="140" w:line="276"/>
      </w:pPr>
      <w:r>
        <w:t xml:space="preserve">Asset resolution, feature scaling, five-way scoring plus fusion, persistence, and — on alert — cascade simulation.</w:t>
      </w:r>
    </w:p>
    <w:p>
      <w:pPr>
        <w:spacing w:after="40" w:before="140"/>
      </w:pPr>
      <w:r>
        <w:rPr>
          <w:b/>
          <w:bCs/>
          <w:color w:val="B45309"/>
        </w:rPr>
        <w:t xml:space="preserve">7. What algorithms/models are used?</w:t>
      </w:r>
    </w:p>
    <w:p>
      <w:pPr>
        <w:spacing w:after="140" w:line="276"/>
      </w:pPr>
      <w:r>
        <w:t xml:space="preserve">Isolation Forest, Random Forest, a honeytoken tripwire, a metadata signature-rule engine, a coefficient-of-variation beaconing detector, a weighted noisy-OR fusion engine with confirmed-signal precedence, and Monte Carlo BFS for blast radius.</w:t>
      </w:r>
    </w:p>
    <w:p>
      <w:pPr>
        <w:spacing w:after="40" w:before="140"/>
      </w:pPr>
      <w:r>
        <w:rPr>
          <w:b/>
          <w:bCs/>
          <w:color w:val="B45309"/>
        </w:rPr>
        <w:t xml:space="preserve">8. Why were they chosen?</w:t>
      </w:r>
    </w:p>
    <w:p>
      <w:pPr>
        <w:spacing w:after="140" w:line="276"/>
      </w:pPr>
      <w:r>
        <w:t xml:space="preserve">Speed and no-label-requirement for Isolation Forest given the sprint timeline; the tripwire and beaconing detector because volumetric detection was measured to fail on this traffic's specific attack shape; the signature engine for a cheap, explainable metadata check; noisy-OR fusion because it's monotonic and doesn't let a weak channel cancel a strong one; Monte Carlo because the graph's structure isn't analytically tractable in closed form.</w:t>
      </w:r>
    </w:p>
    <w:p>
      <w:pPr>
        <w:spacing w:after="40" w:before="140"/>
      </w:pPr>
      <w:r>
        <w:rPr>
          <w:b/>
          <w:bCs/>
          <w:color w:val="B45309"/>
        </w:rPr>
        <w:t xml:space="preserve">9. How is the output generated?</w:t>
      </w:r>
    </w:p>
    <w:p>
      <w:pPr>
        <w:spacing w:after="140" w:line="276"/>
      </w:pPr>
      <w:r>
        <w:t xml:space="preserve">A per-flow anomaly score from each channel plus a fused decision; on alert, a persisted CII snapshot with median/p5/p95, surfaced as a live alert with a plain-language explanation.</w:t>
      </w:r>
    </w:p>
    <w:p>
      <w:pPr>
        <w:spacing w:after="40" w:before="140"/>
      </w:pPr>
      <w:r>
        <w:rPr>
          <w:b/>
          <w:bCs/>
          <w:color w:val="B45309"/>
        </w:rPr>
        <w:t xml:space="preserve">10. How is correctness evaluated?</w:t>
      </w:r>
    </w:p>
    <w:p>
      <w:pPr>
        <w:spacing w:after="140" w:line="276"/>
      </w:pPr>
      <w:r>
        <w:t xml:space="preserve">Segment-wise recall / row-wise precision, a chronological train/eval split now free of the prior scaler leak, a degenerate-split guard, a cross-day novel-attack-family test, and — new — two regression tests pinning the exact false-positive classes found and fixed in the signature engine.</w:t>
      </w:r>
    </w:p>
    <w:p>
      <w:pPr>
        <w:spacing w:after="40" w:before="140"/>
      </w:pPr>
      <w:r>
        <w:rPr>
          <w:b/>
          <w:bCs/>
          <w:color w:val="B45309"/>
        </w:rPr>
        <w:t xml:space="preserve">11. Biggest limitations?</w:t>
      </w:r>
    </w:p>
    <w:p>
      <w:pPr>
        <w:spacing w:after="140" w:line="276"/>
      </w:pPr>
      <w:r>
        <w:t xml:space="preserve">The hybrid layer's own authority to page an operator is deliberately off; the unsupervised detector's near-zero precision on real traffic; 0% real-IP-to-curated-asset resolution; no measured scalability beyond a single node; the beaconing detector's weight is an admitted placeholder.</w:t>
      </w:r>
    </w:p>
    <w:p>
      <w:pPr>
        <w:spacing w:after="40" w:before="140"/>
      </w:pPr>
      <w:r>
        <w:rPr>
          <w:b/>
          <w:bCs/>
          <w:color w:val="B45309"/>
        </w:rPr>
        <w:t xml:space="preserve">12. Biggest technical risks in a live demo?</w:t>
      </w:r>
    </w:p>
    <w:p>
      <w:pPr>
        <w:spacing w:after="140" w:line="276"/>
      </w:pPr>
      <w:r>
        <w:t xml:space="preserve">Being asked to “just show me an organic alert” from unmodified replay traffic (use the injection path); being asked to show the hybrid layer paging an operator (it currently can't, by design); a judge who's read the repo finding one of the Part 18 contradictions.</w:t>
      </w:r>
    </w:p>
    <w:p>
      <w:pPr>
        <w:spacing w:after="40" w:before="140"/>
      </w:pPr>
      <w:r>
        <w:rPr>
          <w:b/>
          <w:bCs/>
          <w:color w:val="B45309"/>
        </w:rPr>
        <w:t xml:space="preserve">13. What makes it technically strong?</w:t>
      </w:r>
    </w:p>
    <w:p>
      <w:pPr>
        <w:spacing w:after="140" w:line="276"/>
      </w:pPr>
      <w:r>
        <w:t xml:space="preserve">The evaluation discipline, now extended to the new detectors — a published, measured, two-stage bug fix on the signature engine is a stronger credibility signal than a claim of a clean first build.</w:t>
      </w:r>
    </w:p>
    <w:p>
      <w:pPr>
        <w:spacing w:after="40" w:before="140"/>
      </w:pPr>
      <w:r>
        <w:rPr>
          <w:b/>
          <w:bCs/>
          <w:color w:val="B45309"/>
        </w:rPr>
        <w:t xml:space="preserve">14. What makes it vulnerable to criticism?</w:t>
      </w:r>
    </w:p>
    <w:p>
      <w:pPr>
        <w:spacing w:after="140" w:line="276"/>
      </w:pPr>
      <w:r>
        <w:t xml:space="preserve">The gap between “five channels correlated” and which ones can actually alert; auth/rate-limiting exist but are off by default; several stale docs remain.</w:t>
      </w:r>
    </w:p>
    <w:p>
      <w:pPr>
        <w:spacing w:after="40" w:before="140"/>
      </w:pPr>
      <w:r>
        <w:rPr>
          <w:b/>
          <w:bCs/>
          <w:color w:val="B45309"/>
        </w:rPr>
        <w:t xml:space="preserve">15. Most likely judge questions?</w:t>
      </w:r>
    </w:p>
    <w:p>
      <w:pPr>
        <w:spacing w:after="140" w:line="276"/>
      </w:pPr>
      <w:r>
        <w:t xml:space="preserve">“Is your data really real?”, “Why five detectors now instead of three?”, “Show me the hybrid layer creating a real alert” (it won't, by design — be ready with why), “What happens at scale?”</w:t>
      </w:r>
    </w:p>
    <w:p>
      <w:pPr>
        <w:spacing w:after="40" w:before="140"/>
      </w:pPr>
      <w:r>
        <w:rPr>
          <w:b/>
          <w:bCs/>
          <w:color w:val="B45309"/>
        </w:rPr>
        <w:t xml:space="preserve">16. Hardest questions to answer?</w:t>
      </w:r>
    </w:p>
    <w:p>
      <w:pPr>
        <w:spacing w:after="140" w:line="276"/>
      </w:pPr>
      <w:r>
        <w:t xml:space="preserve">Defending 58.4s as if measured on real traffic (it wasn't); explaining precisely which of five channels are live-alerting vs. observable-only vs. offline-only.</w:t>
      </w:r>
    </w:p>
    <w:p>
      <w:pPr>
        <w:spacing w:after="40" w:before="140"/>
      </w:pPr>
      <w:r>
        <w:rPr>
          <w:b/>
          <w:bCs/>
          <w:color w:val="B45309"/>
        </w:rPr>
        <w:t xml:space="preserve">17. What to study before presenting?</w:t>
      </w:r>
    </w:p>
    <w:p>
      <w:pPr>
        <w:spacing w:after="140" w:line="276"/>
      </w:pPr>
      <w:r>
        <w:t xml:space="preserve">The MUST MEMORIZE numbers above, the CII and fusion algorithms well enough to derive both on a whiteboard, and the precise boundary of “what can page an operator” across five channels.</w:t>
      </w:r>
    </w:p>
    <w:p>
      <w:pPr>
        <w:pStyle w:val="Heading1"/>
        <w:pBdr>
          <w:bottom w:val="single" w:color="B45309" w:sz="12" w:space="4"/>
        </w:pBdr>
        <w:spacing w:after="200" w:before="480"/>
      </w:pPr>
      <w:r>
        <w:rPr>
          <w:b/>
          <w:bCs/>
          <w:color w:val="B45309"/>
          <w:sz w:val="30"/>
          <w:szCs w:val="30"/>
        </w:rPr>
        <w:t xml:space="preserve">Top 25 Things to Understand Before Walking In</w:t>
      </w:r>
    </w:p>
    <w:p>
      <w:pPr>
        <w:spacing w:after="140" w:line="276"/>
      </w:pPr>
      <w:r>
        <w:t xml:space="preserve">Renumbered and substantially rewritten from the first edition — several old CRITICAL items are resolved and dropped from urgency; several new ones take their place.</w:t>
      </w:r>
    </w:p>
    <w:p>
      <w:pPr>
        <w:spacing w:after="80" w:line="264"/>
      </w:pPr>
      <w:r>
        <w:rPr>
          <w:b/>
          <w:bCs/>
        </w:rPr>
        <w:t xml:space="preserve">1. </w:t>
      </w:r>
      <w:r>
        <w:t xml:space="preserve">The Speed and Inject controls now work — you may click them live. Practiced injection sequence: pick a scenario, target a real curated asset, submit, watch the alert and cascade appear.</w:t>
      </w:r>
    </w:p>
    <w:p>
      <w:pPr>
        <w:spacing w:after="80" w:line="264"/>
      </w:pPr>
      <w:r>
        <w:rPr>
          <w:b/>
          <w:bCs/>
        </w:rPr>
        <w:t xml:space="preserve">2. </w:t>
      </w:r>
      <w:r>
        <w:rPr>
          <w:b/>
          <w:bCs/>
        </w:rPr>
        <w:t xml:space="preserve">All five detectors score every live flow</w:t>
      </w:r>
      <w:r>
        <w:t xml:space="preserve"> — Isolation Forest, Random Forest, the honeytoken tripwire, a signature-rule engine, and a temporal beaconing detector. Only three paths can currently create an alert: the tripwire (always), the existing volumetric/supervised-informed policy, and — only if hybrid_gates_alerts is explicitly turned on — the fusion engine's own decision. It is off by default. Say this before being asked.</w:t>
      </w:r>
    </w:p>
    <w:p>
      <w:pPr>
        <w:spacing w:after="80" w:line="264"/>
      </w:pPr>
      <w:r>
        <w:rPr>
          <w:b/>
          <w:bCs/>
        </w:rPr>
        <w:t xml:space="preserve">3. </w:t>
      </w:r>
      <w:r>
        <w:t xml:space="preserve">The unsupervised detector's real precision on the landing dataset is still 0.006 (5 TP / 811 FP) — know why (Bot C2 is quieter than benign traffic, not louder).</w:t>
      </w:r>
    </w:p>
    <w:p>
      <w:pPr>
        <w:spacing w:after="80" w:line="264"/>
      </w:pPr>
      <w:r>
        <w:rPr>
          <w:b/>
          <w:bCs/>
        </w:rPr>
        <w:t xml:space="preserve">4. </w:t>
      </w:r>
      <w:r>
        <w:t xml:space="preserve">The 58.4-second tripwire lead time is measured on scripted attack timelines, not real capture traffic — always attach that qualifier. Re-verified live this pass, unchanged.</w:t>
      </w:r>
    </w:p>
    <w:p>
      <w:pPr>
        <w:spacing w:after="80" w:line="264"/>
      </w:pPr>
      <w:r>
        <w:rPr>
          <w:b/>
          <w:bCs/>
        </w:rPr>
        <w:t xml:space="preserve">5. </w:t>
      </w:r>
      <w:r>
        <w:t xml:space="preserve">Authentication and rate limiting now exist on every mutating API route — off by default, an operator opts in. Lead with this if asked about security; it is a real improvement, not a claim of production-grade auth.</w:t>
      </w:r>
    </w:p>
    <w:p>
      <w:pPr>
        <w:spacing w:after="80" w:line="264"/>
      </w:pPr>
      <w:r>
        <w:rPr>
          <w:b/>
          <w:bCs/>
        </w:rPr>
        <w:t xml:space="preserve">6. </w:t>
      </w:r>
      <w:r>
        <w:t xml:space="preserve">0 of 20,000 real replay IPs resolve onto the curated asset graph — still why the live city graph shows two disconnected layers, by honest design.</w:t>
      </w:r>
    </w:p>
    <w:p>
      <w:pPr>
        <w:spacing w:after="80" w:line="264"/>
      </w:pPr>
      <w:r>
        <w:rPr>
          <w:b/>
          <w:bCs/>
        </w:rPr>
        <w:t xml:space="preserve">7. </w:t>
      </w:r>
      <w:r>
        <w:t xml:space="preserve">45 curated assets / 63 edges raw in config.py; the live console serves 50 nodes / 75 edges. </w:t>
      </w:r>
      <w:r>
        <w:rPr>
          <w:b/>
          <w:bCs/>
        </w:rPr>
        <w:t xml:space="preserve">New:</w:t>
      </w:r>
      <w:r>
        <w:t xml:space="preserve"> the compact (non-maximised) graph view now actually renders all 50 of them, across 11 sectors including a new “Infrastructure” sector for the 4 gateways and City_Grid — it silently didn't before this pass.</w:t>
      </w:r>
    </w:p>
    <w:p>
      <w:pPr>
        <w:spacing w:after="80" w:line="264"/>
      </w:pPr>
      <w:r>
        <w:rPr>
          <w:b/>
          <w:bCs/>
        </w:rPr>
        <w:t xml:space="preserve">8. </w:t>
      </w:r>
      <w:r>
        <w:t xml:space="preserve">Injected attacks are real historical flows re-targeted, never fabricated — know the exact scenario counts (1,966 Bot / 128,027 DDoS / 158,930 PortScan flows).</w:t>
      </w:r>
    </w:p>
    <w:p>
      <w:pPr>
        <w:spacing w:after="80" w:line="264"/>
      </w:pPr>
      <w:r>
        <w:rPr>
          <w:b/>
          <w:bCs/>
        </w:rPr>
        <w:t xml:space="preserve">9. </w:t>
      </w:r>
      <w:r>
        <w:t xml:space="preserve">Can you derive the CII Monte Carlo algorithm on a whiteboard? BFS + per-edge Bernoulli draw + hop cap + AND-semantics redundancy pass + </w:t>
      </w:r>
      <w:r>
        <w:rPr>
          <w:b/>
          <w:bCs/>
        </w:rPr>
        <w:t xml:space="preserve">now-correct</w:t>
      </w:r>
      <w:r>
        <w:t xml:space="preserve"> shared-provider correlated draw + mass-normalization. Practice this once out loud.</w:t>
      </w:r>
    </w:p>
    <w:p>
      <w:pPr>
        <w:spacing w:after="80" w:line="264"/>
      </w:pPr>
      <w:r>
        <w:rPr>
          <w:b/>
          <w:bCs/>
        </w:rPr>
        <w:t xml:space="preserve">10. </w:t>
      </w:r>
      <w:r>
        <w:t xml:space="preserve">CII is reported as median/p5/p95, never a single number — a median of 0.0 is common and correct, not broken.</w:t>
      </w:r>
    </w:p>
    <w:p>
      <w:pPr>
        <w:spacing w:after="80" w:line="264"/>
      </w:pPr>
      <w:r>
        <w:rPr>
          <w:b/>
          <w:bCs/>
        </w:rPr>
        <w:t xml:space="preserve">11. </w:t>
      </w:r>
      <w:r>
        <w:rPr>
          <w:b/>
          <w:bCs/>
        </w:rPr>
        <w:t xml:space="preserve">New:</w:t>
      </w:r>
      <w:r>
        <w:t xml:space="preserve"> can you derive the fusion engine's noisy-OR formula? threat_score = 1 − Π(1 − score×reliability) over fired detectors, with a hard override to 1.0 for any confirmed signal. Know why this beats majority vote and weighted average (Part 8/15).</w:t>
      </w:r>
    </w:p>
    <w:p>
      <w:pPr>
        <w:spacing w:after="80" w:line="264"/>
      </w:pPr>
      <w:r>
        <w:rPr>
          <w:b/>
          <w:bCs/>
        </w:rPr>
        <w:t xml:space="preserve">12. </w:t>
      </w:r>
      <w:r>
        <w:t xml:space="preserve">The gateway is a structural graph rewrite, not a monitoring policy — “a soft tap doesn't make anything mandatory.”</w:t>
      </w:r>
    </w:p>
    <w:p>
      <w:pPr>
        <w:spacing w:after="80" w:line="264"/>
      </w:pPr>
      <w:r>
        <w:rPr>
          <w:b/>
          <w:bCs/>
        </w:rPr>
        <w:t xml:space="preserve">13. </w:t>
      </w:r>
      <w:r>
        <w:t xml:space="preserve">Random Forest's honest number is AUC 0.847 / precision 0.996 / recall 0.595 (temporal split) — not the 0.9994 same-distribution figure. Know which one to lead with. </w:t>
      </w:r>
      <w:r>
        <w:rPr>
          <w:b/>
          <w:bCs/>
        </w:rPr>
        <w:t xml:space="preserve">Corrected from the first edition:</w:t>
      </w:r>
      <w:r>
        <w:t xml:space="preserve"> this channel has been live-wired into the ingest pipeline since before the first edition was even written — that edition's own claim to the contrary was already stale at the time.</w:t>
      </w:r>
    </w:p>
    <w:p>
      <w:pPr>
        <w:spacing w:after="80" w:line="264"/>
      </w:pPr>
      <w:r>
        <w:rPr>
          <w:b/>
          <w:bCs/>
        </w:rPr>
        <w:t xml:space="preserve">14. </w:t>
      </w:r>
      <w:r>
        <w:t xml:space="preserve">Random Forest scores 0.000 precision/recall on a genuinely novel attack family — the supervised detector's stated blind spot, unchanged.</w:t>
      </w:r>
    </w:p>
    <w:p>
      <w:pPr>
        <w:spacing w:after="80" w:line="264"/>
      </w:pPr>
      <w:r>
        <w:rPr>
          <w:b/>
          <w:bCs/>
        </w:rPr>
        <w:t xml:space="preserve">15. </w:t>
      </w:r>
      <w:r>
        <w:rPr>
          <w:b/>
          <w:bCs/>
        </w:rPr>
        <w:t xml:space="preserve">New:</w:t>
      </w:r>
      <w:r>
        <w:t xml:space="preserve"> the signature engine's real, published false-positive journey: 20.0% → (a first fix that introduced a second, different bug) → 0.56%, measured against the same 40,000 real flows each time. Know this story if evaluation rigor comes up — it's a stronger credibility signal than a clean-build claim.</w:t>
      </w:r>
    </w:p>
    <w:p>
      <w:pPr>
        <w:spacing w:after="80" w:line="264"/>
      </w:pPr>
      <w:r>
        <w:rPr>
          <w:b/>
          <w:bCs/>
        </w:rPr>
        <w:t xml:space="preserve">16. </w:t>
      </w:r>
      <w:r>
        <w:t xml:space="preserve">Segment-wise recall / row-wise precision was a deliberate rejection of “point-adjust” scoring — know why that metric can make random noise look state-of-the-art. Unchanged.</w:t>
      </w:r>
    </w:p>
    <w:p>
      <w:pPr>
        <w:spacing w:after="80" w:line="264"/>
      </w:pPr>
      <w:r>
        <w:rPr>
          <w:b/>
          <w:bCs/>
        </w:rPr>
        <w:t xml:space="preserve">17. </w:t>
      </w:r>
      <w:r>
        <w:t xml:space="preserve">Canonical schema is v2.0 with 17 columns, not the older “14 columns” figure some docs still carry.</w:t>
      </w:r>
    </w:p>
    <w:p>
      <w:pPr>
        <w:spacing w:after="80" w:line="264"/>
      </w:pPr>
      <w:r>
        <w:rPr>
          <w:b/>
          <w:bCs/>
        </w:rPr>
        <w:t xml:space="preserve">18. </w:t>
      </w:r>
      <w:r>
        <w:t xml:space="preserve">No competition name, judging rubric, or time limit is documented anywhere in the repo — confirm this with whoever's running the pitch logistics.</w:t>
      </w:r>
    </w:p>
    <w:p>
      <w:pPr>
        <w:spacing w:after="80" w:line="264"/>
      </w:pPr>
      <w:r>
        <w:rPr>
          <w:b/>
          <w:bCs/>
        </w:rPr>
        <w:t xml:space="preserve">19. </w:t>
      </w:r>
      <w:r>
        <w:t xml:space="preserve">PaySim is a simulated dataset published as such — the precise claim is about the live Operations Console path specifically.</w:t>
      </w:r>
    </w:p>
    <w:p>
      <w:pPr>
        <w:spacing w:after="80" w:line="264"/>
      </w:pPr>
      <w:r>
        <w:rPr>
          <w:b/>
          <w:bCs/>
        </w:rPr>
        <w:t xml:space="preserve">20. </w:t>
      </w:r>
      <w:r>
        <w:t xml:space="preserve">The Research Console's CIC-IDS2017 adapter hardcodes IP addresses — a nuance worth knowing rather than being surprised by.</w:t>
      </w:r>
    </w:p>
    <w:p>
      <w:pPr>
        <w:spacing w:after="80" w:line="264"/>
      </w:pPr>
      <w:r>
        <w:rPr>
          <w:b/>
          <w:bCs/>
        </w:rPr>
        <w:t xml:space="preserve">21. </w:t>
      </w:r>
      <w:r>
        <w:rPr>
          <w:b/>
          <w:bCs/>
        </w:rPr>
        <w:t xml:space="preserve">Reframed:</w:t>
      </w:r>
      <w:r>
        <w:t xml:space="preserve"> only 2 of 4 scripted-attack demo gateways materialize against a real protected asset in the current graph — but this is now understood (2026-09-02 re-investigation, carried forward) as a deliberately engineered fallback path with its own test coverage, not an evaluation gap. Know the mechanism (Part 3/18), not just the headline number.</w:t>
      </w:r>
    </w:p>
    <w:p>
      <w:pPr>
        <w:spacing w:after="80" w:line="264"/>
      </w:pPr>
      <w:r>
        <w:rPr>
          <w:b/>
          <w:bCs/>
        </w:rPr>
        <w:t xml:space="preserve">22. </w:t>
      </w:r>
      <w:r>
        <w:t xml:space="preserve">No message queue, no containers, no CI/CD beyond lint+test, no monitoring stack, no multi-tenant support — unchanged; know this list.</w:t>
      </w:r>
    </w:p>
    <w:p>
      <w:pPr>
        <w:spacing w:after="80" w:line="264"/>
      </w:pPr>
      <w:r>
        <w:rPr>
          <w:b/>
          <w:bCs/>
        </w:rPr>
        <w:t xml:space="preserve">23. </w:t>
      </w:r>
      <w:r>
        <w:t xml:space="preserve">events.source_asset/destination_asset are plain strings, not foreign keys — a deliberate denormalization for telemetry-log resilience, defensible if asked. Unchanged.</w:t>
      </w:r>
    </w:p>
    <w:p>
      <w:pPr>
        <w:spacing w:after="80" w:line="264"/>
      </w:pPr>
      <w:r>
        <w:rPr>
          <w:b/>
          <w:bCs/>
        </w:rPr>
        <w:t xml:space="preserve">24. </w:t>
      </w:r>
      <w:r>
        <w:t xml:space="preserve">Scalability beyond a single node is entirely unmeasured and explicitly out of scope — say so plainly. Unchanged.</w:t>
      </w:r>
    </w:p>
    <w:p>
      <w:pPr>
        <w:spacing w:after="80" w:line="264"/>
      </w:pPr>
      <w:r>
        <w:rPr>
          <w:b/>
          <w:bCs/>
        </w:rPr>
        <w:t xml:space="preserve">25. </w:t>
      </w:r>
      <w:r>
        <w:t xml:space="preserve">Test suite: 680 passed / 0 skipped with live Postgres; 665 passed / 15 skipped in the default posture — up from 538/13, almost entirely new regression coverage for this pass's fixes.</w:t>
      </w:r>
    </w:p>
    <w:p>
      <w:pPr>
        <w:spacing w:after="140" w:line="276"/>
      </w:pPr>
      <w:r>
        <w:t xml:space="preserve">Compiled from direct reads of README.md, CLAUDE.md, PLAN_MASTER.md, all files under docs/, and source in src/, backend/, and frontend/, re-verified against the current tree for this second edition. No fact above was invented; gaps are marked NOT SPECIFIED rather than filled.</w:t>
      </w:r>
    </w:p>
    <w:p>
      <w:pPr>
        <w:pStyle w:val="Heading1"/>
        <w:pBdr>
          <w:bottom w:val="single" w:color="B45309" w:sz="12" w:space="4"/>
        </w:pBdr>
        <w:spacing w:after="200" w:before="480"/>
      </w:pPr>
      <w:r>
        <w:rPr>
          <w:b/>
          <w:bCs/>
          <w:color w:val="B45309"/>
          <w:sz w:val="30"/>
          <w:szCs w:val="30"/>
        </w:rPr>
        <w:t xml:space="preserve">Future Improvement Plan</w:t>
      </w:r>
    </w:p>
    <w:p>
      <w:pPr>
        <w:spacing w:after="140" w:line="276"/>
      </w:pPr>
      <w:r>
        <w:rPr>
          <w:b/>
          <w:bCs/>
        </w:rPr>
        <w:t xml:space="preserve">Second edition.</w:t>
      </w:r>
      <w:r>
        <w:t xml:space="preserve"> The first edition's Phase A, B, and C are complete — every item is marked DONE below with what actually shipped, which in a few cases differs in scope from what was originally planned (noted where it does). Phase D is renumbered from the first edition's structure since several of its items are now also done. A new, genuinely forward-looking set of items closes this edition, reflecting what the Hybrid IDS pass itself revealed as the next real decisions.</w:t>
      </w:r>
    </w:p>
    <w:p>
      <w:pPr>
        <w:pStyle w:val="Heading2"/>
        <w:spacing w:after="120" w:before="320"/>
      </w:pPr>
      <w:r>
        <w:rPr>
          <w:b/>
          <w:bCs/>
          <w:sz w:val="24"/>
          <w:szCs w:val="24"/>
        </w:rPr>
        <w:t xml:space="preserve">How to read this</w:t>
      </w:r>
    </w:p>
    <w:p>
      <w:pPr>
        <w:spacing w:after="140" w:line="276"/>
      </w:pPr>
      <w:r>
        <w:t xml:space="preserve">Phase A/B/C below are a completion record, not a forward plan — read them to know what changed and why, not as a to-do list. The NEW section at the end is the actual forward-looking plan for this edition.</w:t>
      </w:r>
    </w:p>
    <w:p>
      <w:pPr>
        <w:pStyle w:val="Heading2"/>
        <w:spacing w:after="120" w:before="320"/>
      </w:pPr>
      <w:r>
        <w:rPr>
          <w:b/>
          <w:bCs/>
          <w:sz w:val="24"/>
          <w:szCs w:val="24"/>
        </w:rPr>
        <w:t xml:space="preserve">PHASE A — Pre-Demo Stabilization — COMPLETE</w:t>
      </w:r>
    </w:p>
    <w:tbl>
      <w:tblPr>
        <w:tblW w:type="pct" w:w="100%"/>
        <w:tblBorders>
          <w:top w:val="single" w:color="D8CBB0" w:sz="4"/>
          <w:left w:val="single" w:color="D8CBB0" w:sz="4"/>
          <w:bottom w:val="single" w:color="D8CBB0" w:sz="4"/>
          <w:right w:val="single" w:color="D8CBB0" w:sz="4"/>
          <w:insideH w:val="single" w:color="D8CBB0" w:sz="4"/>
          <w:insideV w:val="single" w:color="D8CBB0" w:sz="4"/>
        </w:tblBorders>
      </w:tblPr>
      <w:tblGrid>
        <w:gridCol w:w="100"/>
        <w:gridCol w:w="100"/>
      </w:tblGrid>
      <w:tr>
        <w:trPr>
          <w:tblHeader/>
        </w:trPr>
        <w:tc>
          <w:tcPr>
            <w:tcW w:type="pct" w:w="30%"/>
            <w:shd w:fill="1C1917" w:val="clear"/>
            <w:tcMar>
              <w:top w:type="dxa" w:w="100"/>
              <w:left w:type="dxa" w:w="120"/>
              <w:bottom w:type="dxa" w:w="100"/>
              <w:right w:type="dxa" w:w="120"/>
            </w:tcMar>
            <w:vAlign w:val="center"/>
          </w:tcPr>
          <w:p>
            <w:r>
              <w:rPr>
                <w:b/>
                <w:bCs/>
                <w:color w:val="FFFFFF"/>
                <w:sz w:val="19"/>
                <w:szCs w:val="19"/>
              </w:rPr>
              <w:t xml:space="preserve">Item</w:t>
            </w:r>
          </w:p>
        </w:tc>
        <w:tc>
          <w:tcPr>
            <w:tcW w:type="pct" w:w="70%"/>
            <w:shd w:fill="1C1917" w:val="clear"/>
            <w:tcMar>
              <w:top w:type="dxa" w:w="100"/>
              <w:left w:type="dxa" w:w="120"/>
              <w:bottom w:type="dxa" w:w="100"/>
              <w:right w:type="dxa" w:w="120"/>
            </w:tcMar>
            <w:vAlign w:val="center"/>
          </w:tcPr>
          <w:p>
            <w:r>
              <w:rPr>
                <w:b/>
                <w:bCs/>
                <w:color w:val="FFFFFF"/>
                <w:sz w:val="19"/>
                <w:szCs w:val="19"/>
              </w:rPr>
              <w:t xml:space="preserve">Outcome</w:t>
            </w:r>
          </w:p>
        </w:tc>
      </w:tr>
      <w:tr>
        <w:tc>
          <w:tcPr>
            <w:tcW w:type="pct" w:w="30%"/>
            <w:tcMar>
              <w:top w:type="dxa" w:w="100"/>
              <w:left w:type="dxa" w:w="120"/>
              <w:bottom w:type="dxa" w:w="100"/>
              <w:right w:type="dxa" w:w="120"/>
            </w:tcMar>
            <w:vAlign w:val="center"/>
          </w:tcPr>
          <w:p>
            <w:r>
              <w:rPr>
                <w:sz w:val="20"/>
                <w:szCs w:val="20"/>
              </w:rPr>
              <w:t xml:space="preserve">Wire the Speed and Inject controls</w:t>
            </w:r>
          </w:p>
        </w:tc>
        <w:tc>
          <w:tcPr>
            <w:tcW w:type="pct" w:w="70%"/>
            <w:tcMar>
              <w:top w:type="dxa" w:w="100"/>
              <w:left w:type="dxa" w:w="120"/>
              <w:bottom w:type="dxa" w:w="100"/>
              <w:right w:type="dxa" w:w="120"/>
            </w:tcMar>
            <w:vAlign w:val="center"/>
          </w:tcPr>
          <w:p>
            <w:r>
              <w:rPr>
                <w:sz w:val="20"/>
                <w:szCs w:val="20"/>
              </w:rPr>
              <w:t xml:space="preserve">DONE. Both call the real API live from the console header.</w:t>
            </w:r>
          </w:p>
        </w:tc>
      </w:tr>
      <w:tr>
        <w:tc>
          <w:tcPr>
            <w:tcW w:type="pct" w:w="30%"/>
            <w:shd w:fill="F5F0E8" w:val="clear"/>
            <w:tcMar>
              <w:top w:type="dxa" w:w="100"/>
              <w:left w:type="dxa" w:w="120"/>
              <w:bottom w:type="dxa" w:w="100"/>
              <w:right w:type="dxa" w:w="120"/>
            </w:tcMar>
            <w:vAlign w:val="center"/>
          </w:tcPr>
          <w:p>
            <w:r>
              <w:rPr>
                <w:sz w:val="20"/>
                <w:szCs w:val="20"/>
              </w:rPr>
              <w:t xml:space="preserve">Correct stale figures in CLAUDE.md and PLAN_MASTER.md</w:t>
            </w:r>
          </w:p>
        </w:tc>
        <w:tc>
          <w:tcPr>
            <w:tcW w:type="pct" w:w="70%"/>
            <w:shd w:fill="F5F0E8" w:val="clear"/>
            <w:tcMar>
              <w:top w:type="dxa" w:w="100"/>
              <w:left w:type="dxa" w:w="120"/>
              <w:bottom w:type="dxa" w:w="100"/>
              <w:right w:type="dxa" w:w="120"/>
            </w:tcMar>
            <w:vAlign w:val="center"/>
          </w:tcPr>
          <w:p>
            <w:r>
              <w:rPr>
                <w:sz w:val="20"/>
                <w:szCs w:val="20"/>
              </w:rPr>
              <w:t xml:space="preserve">Partially superseded — the specific figures named (schema column count, run_evaluation default) were already correct in code by the time of the first edition; corrected the DOCS to match in later passes. New stale figures have since accumulated in their place (this document's own Part 18) — stale docs are a persistent, not a one-time, maintenance item.</w:t>
            </w:r>
          </w:p>
        </w:tc>
      </w:tr>
      <w:tr>
        <w:tc>
          <w:tcPr>
            <w:tcW w:type="pct" w:w="30%"/>
            <w:tcMar>
              <w:top w:type="dxa" w:w="100"/>
              <w:left w:type="dxa" w:w="120"/>
              <w:bottom w:type="dxa" w:w="100"/>
              <w:right w:type="dxa" w:w="120"/>
            </w:tcMar>
            <w:vAlign w:val="center"/>
          </w:tcPr>
          <w:p>
            <w:r>
              <w:rPr>
                <w:sz w:val="20"/>
                <w:szCs w:val="20"/>
              </w:rPr>
              <w:t xml:space="preserve">Backfill missed WebSocket events on reconnect</w:t>
            </w:r>
          </w:p>
        </w:tc>
        <w:tc>
          <w:tcPr>
            <w:tcW w:type="pct" w:w="70%"/>
            <w:tcMar>
              <w:top w:type="dxa" w:w="100"/>
              <w:left w:type="dxa" w:w="120"/>
              <w:bottom w:type="dxa" w:w="100"/>
              <w:right w:type="dxa" w:w="120"/>
            </w:tcMar>
            <w:vAlign w:val="center"/>
          </w:tcPr>
          <w:p>
            <w:r>
              <w:rPr>
                <w:sz w:val="20"/>
                <w:szCs w:val="20"/>
              </w:rPr>
              <w:t xml:space="preserve">Confirmed already correct at the first edition's own writing — GET /api/events?since= backfill was already wired into the reconnect handler. The first edition's architecture table listed this as a gap in error; corrected in this edition (Part 5).</w:t>
            </w:r>
          </w:p>
        </w:tc>
      </w:tr>
    </w:tbl>
    <w:p>
      <w:pPr>
        <w:pStyle w:val="Heading2"/>
        <w:spacing w:after="120" w:before="320"/>
      </w:pPr>
      <w:r>
        <w:rPr>
          <w:b/>
          <w:bCs/>
          <w:sz w:val="24"/>
          <w:szCs w:val="24"/>
        </w:rPr>
        <w:t xml:space="preserve">PHASE B — Credibility &amp; Security Hardening — COMPLETE</w:t>
      </w:r>
    </w:p>
    <w:tbl>
      <w:tblPr>
        <w:tblW w:type="pct" w:w="100%"/>
        <w:tblBorders>
          <w:top w:val="single" w:color="D8CBB0" w:sz="4"/>
          <w:left w:val="single" w:color="D8CBB0" w:sz="4"/>
          <w:bottom w:val="single" w:color="D8CBB0" w:sz="4"/>
          <w:right w:val="single" w:color="D8CBB0" w:sz="4"/>
          <w:insideH w:val="single" w:color="D8CBB0" w:sz="4"/>
          <w:insideV w:val="single" w:color="D8CBB0" w:sz="4"/>
        </w:tblBorders>
      </w:tblPr>
      <w:tblGrid>
        <w:gridCol w:w="100"/>
        <w:gridCol w:w="100"/>
      </w:tblGrid>
      <w:tr>
        <w:trPr>
          <w:tblHeader/>
        </w:trPr>
        <w:tc>
          <w:tcPr>
            <w:tcW w:type="pct" w:w="30%"/>
            <w:shd w:fill="1C1917" w:val="clear"/>
            <w:tcMar>
              <w:top w:type="dxa" w:w="100"/>
              <w:left w:type="dxa" w:w="120"/>
              <w:bottom w:type="dxa" w:w="100"/>
              <w:right w:type="dxa" w:w="120"/>
            </w:tcMar>
            <w:vAlign w:val="center"/>
          </w:tcPr>
          <w:p>
            <w:r>
              <w:rPr>
                <w:b/>
                <w:bCs/>
                <w:color w:val="FFFFFF"/>
                <w:sz w:val="19"/>
                <w:szCs w:val="19"/>
              </w:rPr>
              <w:t xml:space="preserve">Item</w:t>
            </w:r>
          </w:p>
        </w:tc>
        <w:tc>
          <w:tcPr>
            <w:tcW w:type="pct" w:w="70%"/>
            <w:shd w:fill="1C1917" w:val="clear"/>
            <w:tcMar>
              <w:top w:type="dxa" w:w="100"/>
              <w:left w:type="dxa" w:w="120"/>
              <w:bottom w:type="dxa" w:w="100"/>
              <w:right w:type="dxa" w:w="120"/>
            </w:tcMar>
            <w:vAlign w:val="center"/>
          </w:tcPr>
          <w:p>
            <w:r>
              <w:rPr>
                <w:b/>
                <w:bCs/>
                <w:color w:val="FFFFFF"/>
                <w:sz w:val="19"/>
                <w:szCs w:val="19"/>
              </w:rPr>
              <w:t xml:space="preserve">Outcome</w:t>
            </w:r>
          </w:p>
        </w:tc>
      </w:tr>
      <w:tr>
        <w:tc>
          <w:tcPr>
            <w:tcW w:type="pct" w:w="30%"/>
            <w:tcMar>
              <w:top w:type="dxa" w:w="100"/>
              <w:left w:type="dxa" w:w="120"/>
              <w:bottom w:type="dxa" w:w="100"/>
              <w:right w:type="dxa" w:w="120"/>
            </w:tcMar>
            <w:vAlign w:val="center"/>
          </w:tcPr>
          <w:p>
            <w:r>
              <w:rPr>
                <w:sz w:val="20"/>
                <w:szCs w:val="20"/>
              </w:rPr>
              <w:t xml:space="preserve">Add minimal authentication to state-changing routes</w:t>
            </w:r>
          </w:p>
        </w:tc>
        <w:tc>
          <w:tcPr>
            <w:tcW w:type="pct" w:w="70%"/>
            <w:tcMar>
              <w:top w:type="dxa" w:w="100"/>
              <w:left w:type="dxa" w:w="120"/>
              <w:bottom w:type="dxa" w:w="100"/>
              <w:right w:type="dxa" w:w="120"/>
            </w:tcMar>
            <w:vAlign w:val="center"/>
          </w:tcPr>
          <w:p>
            <w:r>
              <w:rPr>
                <w:sz w:val="20"/>
                <w:szCs w:val="20"/>
              </w:rPr>
              <w:t xml:space="preserve">DONE. Optional bearer-token dependency (backend/security.py), off by default.</w:t>
            </w:r>
          </w:p>
        </w:tc>
      </w:tr>
      <w:tr>
        <w:tc>
          <w:tcPr>
            <w:tcW w:type="pct" w:w="30%"/>
            <w:shd w:fill="F5F0E8" w:val="clear"/>
            <w:tcMar>
              <w:top w:type="dxa" w:w="100"/>
              <w:left w:type="dxa" w:w="120"/>
              <w:bottom w:type="dxa" w:w="100"/>
              <w:right w:type="dxa" w:w="120"/>
            </w:tcMar>
            <w:vAlign w:val="center"/>
          </w:tcPr>
          <w:p>
            <w:r>
              <w:rPr>
                <w:sz w:val="20"/>
                <w:szCs w:val="20"/>
              </w:rPr>
              <w:t xml:space="preserve">Rate-limit the mutating routes</w:t>
            </w:r>
          </w:p>
        </w:tc>
        <w:tc>
          <w:tcPr>
            <w:tcW w:type="pct" w:w="70%"/>
            <w:shd w:fill="F5F0E8" w:val="clear"/>
            <w:tcMar>
              <w:top w:type="dxa" w:w="100"/>
              <w:left w:type="dxa" w:w="120"/>
              <w:bottom w:type="dxa" w:w="100"/>
              <w:right w:type="dxa" w:w="120"/>
            </w:tcMar>
            <w:vAlign w:val="center"/>
          </w:tcPr>
          <w:p>
            <w:r>
              <w:rPr>
                <w:sz w:val="20"/>
                <w:szCs w:val="20"/>
              </w:rPr>
              <w:t xml:space="preserve">DONE. Per-IP token bucket, same on/off posture as auth.</w:t>
            </w:r>
          </w:p>
        </w:tc>
      </w:tr>
      <w:tr>
        <w:tc>
          <w:tcPr>
            <w:tcW w:type="pct" w:w="30%"/>
            <w:tcMar>
              <w:top w:type="dxa" w:w="100"/>
              <w:left w:type="dxa" w:w="120"/>
              <w:bottom w:type="dxa" w:w="100"/>
              <w:right w:type="dxa" w:w="120"/>
            </w:tcMar>
            <w:vAlign w:val="center"/>
          </w:tcPr>
          <w:p>
            <w:r>
              <w:rPr>
                <w:sz w:val="20"/>
                <w:szCs w:val="20"/>
              </w:rPr>
              <w:t xml:space="preserve">Resolve the “three channels” ambiguity</w:t>
            </w:r>
          </w:p>
        </w:tc>
        <w:tc>
          <w:tcPr>
            <w:tcW w:type="pct" w:w="70%"/>
            <w:tcMar>
              <w:top w:type="dxa" w:w="100"/>
              <w:left w:type="dxa" w:w="120"/>
              <w:bottom w:type="dxa" w:w="100"/>
              <w:right w:type="dxa" w:w="120"/>
            </w:tcMar>
            <w:vAlign w:val="center"/>
          </w:tcPr>
          <w:p>
            <w:r>
              <w:rPr>
                <w:sz w:val="20"/>
                <w:szCs w:val="20"/>
              </w:rPr>
              <w:t xml:space="preserve">Reshaped by events, not resolved as originally scoped: rather than either wiring Random Forest fully live-alerting OR rewriting every “three channels” sentence, the Random Forest channel was found to already be live-scoring (Part 7 correction), and the ambiguity has since been superseded by a sharper, five-channel version of the same question — see the NEW section below.</w:t>
            </w:r>
          </w:p>
        </w:tc>
      </w:tr>
      <w:tr>
        <w:tc>
          <w:tcPr>
            <w:tcW w:type="pct" w:w="30%"/>
            <w:shd w:fill="F5F0E8" w:val="clear"/>
            <w:tcMar>
              <w:top w:type="dxa" w:w="100"/>
              <w:left w:type="dxa" w:w="120"/>
              <w:bottom w:type="dxa" w:w="100"/>
              <w:right w:type="dxa" w:w="120"/>
            </w:tcMar>
            <w:vAlign w:val="center"/>
          </w:tcPr>
          <w:p>
            <w:r>
              <w:rPr>
                <w:sz w:val="20"/>
                <w:szCs w:val="20"/>
              </w:rPr>
              <w:t xml:space="preserve">Fix the 2-of-4 scripted-attack gateway coverage gap</w:t>
            </w:r>
          </w:p>
        </w:tc>
        <w:tc>
          <w:tcPr>
            <w:tcW w:type="pct" w:w="70%"/>
            <w:shd w:fill="F5F0E8" w:val="clear"/>
            <w:tcMar>
              <w:top w:type="dxa" w:w="100"/>
              <w:left w:type="dxa" w:w="120"/>
              <w:bottom w:type="dxa" w:w="100"/>
              <w:right w:type="dxa" w:w="120"/>
            </w:tcMar>
            <w:vAlign w:val="center"/>
          </w:tcPr>
          <w:p>
            <w:r>
              <w:rPr>
                <w:sz w:val="20"/>
                <w:szCs w:val="20"/>
              </w:rPr>
              <w:t xml:space="preserve">Re-scoped, not fixed as originally planned: a 2026-09-02 re-investigation found the proposed fixes (inflating a sensor's criticality, or retargeting the attacks) would have been regressions — the current behavior is a deliberately engineered, tested fallback path, not a bug. Withdrawn as a planned fix; reframed as a documented, understood property instead (Part 3/18).</w:t>
            </w:r>
          </w:p>
        </w:tc>
      </w:tr>
    </w:tbl>
    <w:p>
      <w:pPr>
        <w:pStyle w:val="Heading2"/>
        <w:spacing w:after="120" w:before="320"/>
      </w:pPr>
      <w:r>
        <w:rPr>
          <w:b/>
          <w:bCs/>
          <w:sz w:val="24"/>
          <w:szCs w:val="24"/>
        </w:rPr>
        <w:t xml:space="preserve">PHASE C — Methodology Rigor — COMPLETE</w:t>
      </w:r>
    </w:p>
    <w:tbl>
      <w:tblPr>
        <w:tblW w:type="pct" w:w="100%"/>
        <w:tblBorders>
          <w:top w:val="single" w:color="D8CBB0" w:sz="4"/>
          <w:left w:val="single" w:color="D8CBB0" w:sz="4"/>
          <w:bottom w:val="single" w:color="D8CBB0" w:sz="4"/>
          <w:right w:val="single" w:color="D8CBB0" w:sz="4"/>
          <w:insideH w:val="single" w:color="D8CBB0" w:sz="4"/>
          <w:insideV w:val="single" w:color="D8CBB0" w:sz="4"/>
        </w:tblBorders>
      </w:tblPr>
      <w:tblGrid>
        <w:gridCol w:w="100"/>
        <w:gridCol w:w="100"/>
      </w:tblGrid>
      <w:tr>
        <w:trPr>
          <w:tblHeader/>
        </w:trPr>
        <w:tc>
          <w:tcPr>
            <w:tcW w:type="pct" w:w="30%"/>
            <w:shd w:fill="1C1917" w:val="clear"/>
            <w:tcMar>
              <w:top w:type="dxa" w:w="100"/>
              <w:left w:type="dxa" w:w="120"/>
              <w:bottom w:type="dxa" w:w="100"/>
              <w:right w:type="dxa" w:w="120"/>
            </w:tcMar>
            <w:vAlign w:val="center"/>
          </w:tcPr>
          <w:p>
            <w:r>
              <w:rPr>
                <w:b/>
                <w:bCs/>
                <w:color w:val="FFFFFF"/>
                <w:sz w:val="19"/>
                <w:szCs w:val="19"/>
              </w:rPr>
              <w:t xml:space="preserve">Item</w:t>
            </w:r>
          </w:p>
        </w:tc>
        <w:tc>
          <w:tcPr>
            <w:tcW w:type="pct" w:w="70%"/>
            <w:shd w:fill="1C1917" w:val="clear"/>
            <w:tcMar>
              <w:top w:type="dxa" w:w="100"/>
              <w:left w:type="dxa" w:w="120"/>
              <w:bottom w:type="dxa" w:w="100"/>
              <w:right w:type="dxa" w:w="120"/>
            </w:tcMar>
            <w:vAlign w:val="center"/>
          </w:tcPr>
          <w:p>
            <w:r>
              <w:rPr>
                <w:b/>
                <w:bCs/>
                <w:color w:val="FFFFFF"/>
                <w:sz w:val="19"/>
                <w:szCs w:val="19"/>
              </w:rPr>
              <w:t xml:space="preserve">Outcome</w:t>
            </w:r>
          </w:p>
        </w:tc>
      </w:tr>
      <w:tr>
        <w:tc>
          <w:tcPr>
            <w:tcW w:type="pct" w:w="30%"/>
            <w:tcMar>
              <w:top w:type="dxa" w:w="100"/>
              <w:left w:type="dxa" w:w="120"/>
              <w:bottom w:type="dxa" w:w="100"/>
              <w:right w:type="dxa" w:w="120"/>
            </w:tcMar>
            <w:vAlign w:val="center"/>
          </w:tcPr>
          <w:p>
            <w:r>
              <w:rPr>
                <w:sz w:val="20"/>
                <w:szCs w:val="20"/>
              </w:rPr>
              <w:t xml:space="preserve">Fix the StandardScaler train/eval leakage</w:t>
            </w:r>
          </w:p>
        </w:tc>
        <w:tc>
          <w:tcPr>
            <w:tcW w:type="pct" w:w="70%"/>
            <w:tcMar>
              <w:top w:type="dxa" w:w="100"/>
              <w:left w:type="dxa" w:w="120"/>
              <w:bottom w:type="dxa" w:w="100"/>
              <w:right w:type="dxa" w:w="120"/>
            </w:tcMar>
            <w:vAlign w:val="center"/>
          </w:tcPr>
          <w:p>
            <w:r>
              <w:rPr>
                <w:sz w:val="20"/>
                <w:szCs w:val="20"/>
              </w:rPr>
              <w:t xml:space="preserve">DONE. preprocess_features() now accepts a pre-fit scaler; run_evaluation() fits on train only. Benchmarks re-measured and republished (docs/EVALUATION.md), not assumed unchanged — every metric moved ≤0.001.</w:t>
            </w:r>
          </w:p>
        </w:tc>
      </w:tr>
      <w:tr>
        <w:tc>
          <w:tcPr>
            <w:tcW w:type="pct" w:w="30%"/>
            <w:shd w:fill="F5F0E8" w:val="clear"/>
            <w:tcMar>
              <w:top w:type="dxa" w:w="100"/>
              <w:left w:type="dxa" w:w="120"/>
              <w:bottom w:type="dxa" w:w="100"/>
              <w:right w:type="dxa" w:w="120"/>
            </w:tcMar>
            <w:vAlign w:val="center"/>
          </w:tcPr>
          <w:p>
            <w:r>
              <w:rPr>
                <w:sz w:val="20"/>
                <w:szCs w:val="20"/>
              </w:rPr>
              <w:t xml:space="preserve">Implement real shares_provider correlated-failure sampling</w:t>
            </w:r>
          </w:p>
        </w:tc>
        <w:tc>
          <w:tcPr>
            <w:tcW w:type="pct" w:w="70%"/>
            <w:shd w:fill="F5F0E8" w:val="clear"/>
            <w:tcMar>
              <w:top w:type="dxa" w:w="100"/>
              <w:left w:type="dxa" w:w="120"/>
              <w:bottom w:type="dxa" w:w="100"/>
              <w:right w:type="dxa" w:w="120"/>
            </w:tcMar>
            <w:vAlign w:val="center"/>
          </w:tcPr>
          <w:p>
            <w:r>
              <w:rPr>
                <w:sz w:val="20"/>
                <w:szCs w:val="20"/>
              </w:rPr>
              <w:t xml:space="preserve">DONE. One shared Bernoulli draw per provider_id per Monte Carlo iteration. 4 new tests including two control cases. No production edge currently uses this type, so no published CII number changed.</w:t>
            </w:r>
          </w:p>
        </w:tc>
      </w:tr>
      <w:tr>
        <w:tc>
          <w:tcPr>
            <w:tcW w:type="pct" w:w="30%"/>
            <w:tcMar>
              <w:top w:type="dxa" w:w="100"/>
              <w:left w:type="dxa" w:w="120"/>
              <w:bottom w:type="dxa" w:w="100"/>
              <w:right w:type="dxa" w:w="120"/>
            </w:tcMar>
            <w:vAlign w:val="center"/>
          </w:tcPr>
          <w:p>
            <w:r>
              <w:rPr>
                <w:sz w:val="20"/>
                <w:szCs w:val="20"/>
              </w:rPr>
              <w:t xml:space="preserve">Add time-based event retention alongside row-count retention</w:t>
            </w:r>
          </w:p>
        </w:tc>
        <w:tc>
          <w:tcPr>
            <w:tcW w:type="pct" w:w="70%"/>
            <w:tcMar>
              <w:top w:type="dxa" w:w="100"/>
              <w:left w:type="dxa" w:w="120"/>
              <w:bottom w:type="dxa" w:w="100"/>
              <w:right w:type="dxa" w:w="120"/>
            </w:tcMar>
            <w:vAlign w:val="center"/>
          </w:tcPr>
          <w:p>
            <w:r>
              <w:rPr>
                <w:sz w:val="20"/>
                <w:szCs w:val="20"/>
              </w:rPr>
              <w:t xml:space="preserve">DONE. Optional, additive max_age_days bound, off by default.</w:t>
            </w:r>
          </w:p>
        </w:tc>
      </w:tr>
    </w:tbl>
    <w:p>
      <w:pPr>
        <w:pStyle w:val="Heading2"/>
        <w:spacing w:after="120" w:before="320"/>
      </w:pPr>
      <w:r>
        <w:rPr>
          <w:b/>
          <w:bCs/>
          <w:sz w:val="24"/>
          <w:szCs w:val="24"/>
        </w:rPr>
        <w:t xml:space="preserve">BEYOND THE ORIGINAL PLAN — found and fixed this pass, not on any prior roadmap</w:t>
      </w:r>
    </w:p>
    <w:tbl>
      <w:tblPr>
        <w:tblW w:type="pct" w:w="100%"/>
        <w:tblBorders>
          <w:top w:val="single" w:color="D8CBB0" w:sz="4"/>
          <w:left w:val="single" w:color="D8CBB0" w:sz="4"/>
          <w:bottom w:val="single" w:color="D8CBB0" w:sz="4"/>
          <w:right w:val="single" w:color="D8CBB0" w:sz="4"/>
          <w:insideH w:val="single" w:color="D8CBB0" w:sz="4"/>
          <w:insideV w:val="single" w:color="D8CBB0" w:sz="4"/>
        </w:tblBorders>
      </w:tblPr>
      <w:tblGrid>
        <w:gridCol w:w="100"/>
        <w:gridCol w:w="100"/>
      </w:tblGrid>
      <w:tr>
        <w:trPr>
          <w:tblHeader/>
        </w:trPr>
        <w:tc>
          <w:tcPr>
            <w:tcW w:type="pct" w:w="40%"/>
            <w:shd w:fill="1C1917" w:val="clear"/>
            <w:tcMar>
              <w:top w:type="dxa" w:w="100"/>
              <w:left w:type="dxa" w:w="120"/>
              <w:bottom w:type="dxa" w:w="100"/>
              <w:right w:type="dxa" w:w="120"/>
            </w:tcMar>
            <w:vAlign w:val="center"/>
          </w:tcPr>
          <w:p>
            <w:r>
              <w:rPr>
                <w:b/>
                <w:bCs/>
                <w:color w:val="FFFFFF"/>
                <w:sz w:val="19"/>
                <w:szCs w:val="19"/>
              </w:rPr>
              <w:t xml:space="preserve">Finding</w:t>
            </w:r>
          </w:p>
        </w:tc>
        <w:tc>
          <w:tcPr>
            <w:tcW w:type="pct" w:w="60%"/>
            <w:shd w:fill="1C1917" w:val="clear"/>
            <w:tcMar>
              <w:top w:type="dxa" w:w="100"/>
              <w:left w:type="dxa" w:w="120"/>
              <w:bottom w:type="dxa" w:w="100"/>
              <w:right w:type="dxa" w:w="120"/>
            </w:tcMar>
            <w:vAlign w:val="center"/>
          </w:tcPr>
          <w:p>
            <w:r>
              <w:rPr>
                <w:b/>
                <w:bCs/>
                <w:color w:val="FFFFFF"/>
                <w:sz w:val="19"/>
                <w:szCs w:val="19"/>
              </w:rPr>
              <w:t xml:space="preserve">Disposition</w:t>
            </w:r>
          </w:p>
        </w:tc>
      </w:tr>
      <w:tr>
        <w:tc>
          <w:tcPr>
            <w:tcW w:type="pct" w:w="40%"/>
            <w:tcMar>
              <w:top w:type="dxa" w:w="100"/>
              <w:left w:type="dxa" w:w="120"/>
              <w:bottom w:type="dxa" w:w="100"/>
              <w:right w:type="dxa" w:w="120"/>
            </w:tcMar>
            <w:vAlign w:val="center"/>
          </w:tcPr>
          <w:p>
            <w:r>
              <w:rPr>
                <w:sz w:val="20"/>
                <w:szCs w:val="20"/>
              </w:rPr>
              <w:t xml:space="preserve">Next.js 16 allowedDevOrigins blocking the console when opened via 127.0.0.1</w:t>
            </w:r>
          </w:p>
        </w:tc>
        <w:tc>
          <w:tcPr>
            <w:tcW w:type="pct" w:w="60%"/>
            <w:tcMar>
              <w:top w:type="dxa" w:w="100"/>
              <w:left w:type="dxa" w:w="120"/>
              <w:bottom w:type="dxa" w:w="100"/>
              <w:right w:type="dxa" w:w="120"/>
            </w:tcMar>
            <w:vAlign w:val="center"/>
          </w:tcPr>
          <w:p>
            <w:r>
              <w:rPr>
                <w:sz w:val="20"/>
                <w:szCs w:val="20"/>
              </w:rPr>
              <w:t xml:space="preserve">A real bug affecting anyone following the project's own documented setup instructions verbatim. Fixed.</w:t>
            </w:r>
          </w:p>
        </w:tc>
      </w:tr>
      <w:tr>
        <w:tc>
          <w:tcPr>
            <w:tcW w:type="pct" w:w="40%"/>
            <w:shd w:fill="F5F0E8" w:val="clear"/>
            <w:tcMar>
              <w:top w:type="dxa" w:w="100"/>
              <w:left w:type="dxa" w:w="120"/>
              <w:bottom w:type="dxa" w:w="100"/>
              <w:right w:type="dxa" w:w="120"/>
            </w:tcMar>
            <w:vAlign w:val="center"/>
          </w:tcPr>
          <w:p>
            <w:r>
              <w:rPr>
                <w:sz w:val="20"/>
                <w:szCs w:val="20"/>
              </w:rPr>
              <w:t xml:space="preserve">Inject popover rendering at ~4% opacity with alert text bleeding through it</w:t>
            </w:r>
          </w:p>
        </w:tc>
        <w:tc>
          <w:tcPr>
            <w:tcW w:type="pct" w:w="60%"/>
            <w:shd w:fill="F5F0E8" w:val="clear"/>
            <w:tcMar>
              <w:top w:type="dxa" w:w="100"/>
              <w:left w:type="dxa" w:w="120"/>
              <w:bottom w:type="dxa" w:w="100"/>
              <w:right w:type="dxa" w:w="120"/>
            </w:tcMar>
            <w:vAlign w:val="center"/>
          </w:tcPr>
          <w:p>
            <w:r>
              <w:rPr>
                <w:sz w:val="20"/>
                <w:szCs w:val="20"/>
              </w:rPr>
              <w:t xml:space="preserve">A Tailwind v4 build-tool defect (a backdrop-filter prefix pair silently collapsed), not a hand-authoring mistake. Fixed, scoped narrowly to the one popover that actually overlaps real content.</w:t>
            </w:r>
          </w:p>
        </w:tc>
      </w:tr>
      <w:tr>
        <w:tc>
          <w:tcPr>
            <w:tcW w:type="pct" w:w="40%"/>
            <w:tcMar>
              <w:top w:type="dxa" w:w="100"/>
              <w:left w:type="dxa" w:w="120"/>
              <w:bottom w:type="dxa" w:w="100"/>
              <w:right w:type="dxa" w:w="120"/>
            </w:tcMar>
            <w:vAlign w:val="center"/>
          </w:tcPr>
          <w:p>
            <w:r>
              <w:rPr>
                <w:sz w:val="20"/>
                <w:szCs w:val="20"/>
              </w:rPr>
              <w:t xml:space="preserve">Hung backend left every panel loading forever with no error and no Retry</w:t>
            </w:r>
          </w:p>
        </w:tc>
        <w:tc>
          <w:tcPr>
            <w:tcW w:type="pct" w:w="60%"/>
            <w:tcMar>
              <w:top w:type="dxa" w:w="100"/>
              <w:left w:type="dxa" w:w="120"/>
              <w:bottom w:type="dxa" w:w="100"/>
              <w:right w:type="dxa" w:w="120"/>
            </w:tcMar>
            <w:vAlign w:val="center"/>
          </w:tcPr>
          <w:p>
            <w:r>
              <w:rPr>
                <w:sz w:val="20"/>
                <w:szCs w:val="20"/>
              </w:rPr>
              <w:t xml:space="preserve">apiFetch had no timeout. Added a 15s AbortSignal.timeout default; verified via a deliberately SIGSTOPped backend that Retry now appears instead of an infinite spinner.</w:t>
            </w:r>
          </w:p>
        </w:tc>
      </w:tr>
      <w:tr>
        <w:tc>
          <w:tcPr>
            <w:tcW w:type="pct" w:w="40%"/>
            <w:shd w:fill="F5F0E8" w:val="clear"/>
            <w:tcMar>
              <w:top w:type="dxa" w:w="100"/>
              <w:left w:type="dxa" w:w="120"/>
              <w:bottom w:type="dxa" w:w="100"/>
              <w:right w:type="dxa" w:w="120"/>
            </w:tcMar>
            <w:vAlign w:val="center"/>
          </w:tcPr>
          <w:p>
            <w:r>
              <w:rPr>
                <w:sz w:val="20"/>
                <w:szCs w:val="20"/>
              </w:rPr>
              <w:t xml:space="preserve">Compact graph view silently omitted the 4 gateway nodes and City_Grid</w:t>
            </w:r>
          </w:p>
        </w:tc>
        <w:tc>
          <w:tcPr>
            <w:tcW w:type="pct" w:w="60%"/>
            <w:shd w:fill="F5F0E8" w:val="clear"/>
            <w:tcMar>
              <w:top w:type="dxa" w:w="100"/>
              <w:left w:type="dxa" w:w="120"/>
              <w:bottom w:type="dxa" w:w="100"/>
              <w:right w:type="dxa" w:w="120"/>
            </w:tcMar>
            <w:vAlign w:val="center"/>
          </w:tcPr>
          <w:p>
            <w:r>
              <w:rPr>
                <w:sz w:val="20"/>
                <w:szCs w:val="20"/>
              </w:rPr>
              <w:t xml:space="preserve">Found while reviewing the graph's demo behavior, not from a prior gap list. Fixed by giving them a real eleventh sector.</w:t>
            </w:r>
          </w:p>
        </w:tc>
      </w:tr>
      <w:tr>
        <w:tc>
          <w:tcPr>
            <w:tcW w:type="pct" w:w="40%"/>
            <w:tcMar>
              <w:top w:type="dxa" w:w="100"/>
              <w:left w:type="dxa" w:w="120"/>
              <w:bottom w:type="dxa" w:w="100"/>
              <w:right w:type="dxa" w:w="120"/>
            </w:tcMar>
            <w:vAlign w:val="center"/>
          </w:tcPr>
          <w:p>
            <w:r>
              <w:rPr>
                <w:sz w:val="20"/>
                <w:szCs w:val="20"/>
              </w:rPr>
              <w:t xml:space="preserve">CII cascade broadcast frozen during a debounced repeat compromise</w:t>
            </w:r>
          </w:p>
        </w:tc>
        <w:tc>
          <w:tcPr>
            <w:tcW w:type="pct" w:w="60%"/>
            <w:tcMar>
              <w:top w:type="dxa" w:w="100"/>
              <w:left w:type="dxa" w:w="120"/>
              <w:bottom w:type="dxa" w:w="100"/>
              <w:right w:type="dxa" w:w="120"/>
            </w:tcMar>
            <w:vAlign w:val="center"/>
          </w:tcPr>
          <w:p>
            <w:r>
              <w:rPr>
                <w:sz w:val="20"/>
                <w:szCs w:val="20"/>
              </w:rPr>
              <w:t xml:space="preserve">Found during live verification of the gateway-visibility fix above. Fixed at two independent levels (the alert-suppression gate, and a separate CII-cache gate) and proven live via a captured WebSocket frame count.</w:t>
            </w:r>
          </w:p>
        </w:tc>
      </w:tr>
      <w:tr>
        <w:tc>
          <w:tcPr>
            <w:tcW w:type="pct" w:w="40%"/>
            <w:shd w:fill="F5F0E8" w:val="clear"/>
            <w:tcMar>
              <w:top w:type="dxa" w:w="100"/>
              <w:left w:type="dxa" w:w="120"/>
              <w:bottom w:type="dxa" w:w="100"/>
              <w:right w:type="dxa" w:w="120"/>
            </w:tcMar>
            <w:vAlign w:val="center"/>
          </w:tcPr>
          <w:p>
            <w:r>
              <w:rPr>
                <w:sz w:val="20"/>
                <w:szCs w:val="20"/>
              </w:rPr>
              <w:t xml:space="preserve">A pre-existing live-DB test assumed the pre-Hybrid-IDS row count for event_scores</w:t>
            </w:r>
          </w:p>
        </w:tc>
        <w:tc>
          <w:tcPr>
            <w:tcW w:type="pct" w:w="60%"/>
            <w:shd w:fill="F5F0E8" w:val="clear"/>
            <w:tcMar>
              <w:top w:type="dxa" w:w="100"/>
              <w:left w:type="dxa" w:w="120"/>
              <w:bottom w:type="dxa" w:w="100"/>
              <w:right w:type="dxa" w:w="120"/>
            </w:tcMar>
            <w:vAlign w:val="center"/>
          </w:tcPr>
          <w:p>
            <w:r>
              <w:rPr>
                <w:sz w:val="20"/>
                <w:szCs w:val="20"/>
              </w:rPr>
              <w:t xml:space="preserve">Found by running the full suite against a real Postgres instance rather than trusting the default (no-DB) posture alone. Fixed.</w:t>
            </w:r>
          </w:p>
        </w:tc>
      </w:tr>
    </w:tbl>
    <w:p>
      <w:pPr>
        <w:pStyle w:val="Heading2"/>
        <w:spacing w:after="120" w:before="320"/>
      </w:pPr>
      <w:r>
        <w:rPr>
          <w:b/>
          <w:bCs/>
          <w:sz w:val="24"/>
          <w:szCs w:val="24"/>
        </w:rPr>
        <w:t xml:space="preserve">NEW — What's Actually Next (this edition's real forward-looking plan)</w:t>
      </w:r>
    </w:p>
    <w:p>
      <w:pPr>
        <w:pStyle w:val="Heading3"/>
        <w:spacing w:after="80" w:before="220"/>
      </w:pPr>
      <w:r>
        <w:rPr>
          <w:b/>
          <w:bCs/>
          <w:color w:val="44403C"/>
          <w:sz w:val="21"/>
          <w:szCs w:val="21"/>
        </w:rPr>
        <w:t xml:space="preserve">Near-term (would harden the current demo further)</w:t>
      </w:r>
    </w:p>
    <w:p>
      <w:pPr>
        <w:spacing w:after="80" w:line="264"/>
      </w:pPr>
      <w:r>
        <w:rPr>
          <w:b/>
          <w:bCs/>
        </w:rPr>
        <w:t xml:space="preserve">1. </w:t>
      </w:r>
      <w:r>
        <w:rPr>
          <w:b/>
          <w:bCs/>
        </w:rPr>
        <w:t xml:space="preserve">Decide on hybrid_gates_alerts.</w:t>
      </w:r>
      <w:r>
        <w:t xml:space="preserve"> The layer has been observable and measured for a full pass. The next real decision is whether its fused decisions are trustworthy enough to page an operator on their own authority — this needs a precision/recall re-measurement against real replay data with the gate on, not just flipping the default. [EFFORT: M]</w:t>
      </w:r>
    </w:p>
    <w:p>
      <w:pPr>
        <w:spacing w:after="80" w:line="264"/>
      </w:pPr>
      <w:r>
        <w:rPr>
          <w:b/>
          <w:bCs/>
        </w:rPr>
        <w:t xml:space="preserve">2. </w:t>
      </w:r>
      <w:r>
        <w:rPr>
          <w:b/>
          <w:bCs/>
        </w:rPr>
        <w:t xml:space="preserve">Measure the beaconing detector's reliability weight.</w:t>
      </w:r>
      <w:r>
        <w:t xml:space="preserve"> Currently an explicitly unmeasured placeholder (0.50). Building a small labelled beacon corpus (even a synthetic one constructed from known C2-timing literature, clearly labelled as such) and re-fitting this one weight would remove the last “admitted guess” number in the fusion layer's configuration. [EFFORT: S–M]</w:t>
      </w:r>
    </w:p>
    <w:p>
      <w:pPr>
        <w:spacing w:after="80" w:line="264"/>
      </w:pPr>
      <w:r>
        <w:rPr>
          <w:b/>
          <w:bCs/>
        </w:rPr>
        <w:t xml:space="preserve">3. </w:t>
      </w:r>
      <w:r>
        <w:rPr>
          <w:b/>
          <w:bCs/>
        </w:rPr>
        <w:t xml:space="preserve">Resolve the “five channels” framing everywhere it's written</w:t>
      </w:r>
      <w:r>
        <w:t xml:space="preserve">, now that it's sharper than the “three channels” ambiguity it superseded — pitch materials, README, and the console's own copy should all say the same precise thing about which channels can alert. [EFFORT: S]</w:t>
      </w:r>
    </w:p>
    <w:p>
      <w:pPr>
        <w:pStyle w:val="Heading3"/>
        <w:spacing w:after="80" w:before="220"/>
      </w:pPr>
      <w:r>
        <w:rPr>
          <w:b/>
          <w:bCs/>
          <w:color w:val="44403C"/>
          <w:sz w:val="21"/>
          <w:szCs w:val="21"/>
        </w:rPr>
        <w:t xml:space="preserve">Research-grade upgrades (bigger lift, real differentiator)</w:t>
      </w:r>
    </w:p>
    <w:p>
      <w:pPr>
        <w:spacing w:after="80" w:line="264"/>
      </w:pPr>
      <w:r>
        <w:rPr>
          <w:b/>
          <w:bCs/>
        </w:rPr>
        <w:t xml:space="preserve">4. </w:t>
      </w:r>
      <w:r>
        <w:rPr>
          <w:b/>
          <w:bCs/>
        </w:rPr>
        <w:t xml:space="preserve">A sixth detector: graph-neural-network-based novel-threat detection</w:t>
      </w:r>
      <w:r>
        <w:t xml:space="preserve"> (Anomal-E / E-GraphSAGE style), self-supervised and edge-aware — would also give the K8 "observed traffic doesn't map onto curated assets" gap a principled learned-topology answer instead of two disconnected layers. Complementary to, not a replacement for, the signature/beaconing detectors: those catch specific known shapes; a GNN would learn structure neither can express.</w:t>
      </w:r>
    </w:p>
    <w:p>
      <w:pPr>
        <w:spacing w:after="80" w:line="264"/>
      </w:pPr>
      <w:r>
        <w:rPr>
          <w:b/>
          <w:bCs/>
        </w:rPr>
        <w:t xml:space="preserve">5. </w:t>
      </w:r>
      <w:r>
        <w:rPr>
          <w:b/>
          <w:bCs/>
        </w:rPr>
        <w:t xml:space="preserve">Learned edge probabilities for the CII graph</w:t>
      </w:r>
      <w:r>
        <w:t xml:space="preserve"> (Bayesian attack-graph posterior updates from observed telemetry) instead of the current hand-curated static probabilities.</w:t>
      </w:r>
    </w:p>
    <w:p>
      <w:pPr>
        <w:spacing w:after="80" w:line="264"/>
      </w:pPr>
      <w:r>
        <w:rPr>
          <w:b/>
          <w:bCs/>
        </w:rPr>
        <w:t xml:space="preserve">6. </w:t>
      </w:r>
      <w:r>
        <w:rPr>
          <w:b/>
          <w:bCs/>
        </w:rPr>
        <w:t xml:space="preserve">Provenance-graph / MITRE ATT&amp;CK-mapped behavioral baselining</w:t>
      </w:r>
      <w:r>
        <w:t xml:space="preserve"> for the stated blind spot common to all five current detection channels: an attacker already holding valid credentials, who never touches the honeytoken and doesn't look anomalous by volume or timing. Needs weeks of baseline data this project's datasets alone can't provide — a real, not a quick, gap.</w:t>
      </w:r>
    </w:p>
    <w:p>
      <w:pPr>
        <w:pStyle w:val="Heading3"/>
        <w:spacing w:after="80" w:before="220"/>
      </w:pPr>
      <w:r>
        <w:rPr>
          <w:b/>
          <w:bCs/>
          <w:color w:val="44403C"/>
          <w:sz w:val="21"/>
          <w:szCs w:val="21"/>
        </w:rPr>
        <w:t xml:space="preserve">Path to production (explicitly deferred, not urgent)</w:t>
      </w:r>
    </w:p>
    <w:p>
      <w:pPr>
        <w:spacing w:after="80" w:line="264"/>
      </w:pPr>
      <w:r>
        <w:rPr>
          <w:b/>
          <w:bCs/>
        </w:rPr>
        <w:t xml:space="preserve">7. </w:t>
      </w:r>
      <w:r>
        <w:t xml:space="preserve">Multi-tenant / multi-city support — unchanged from the first edition, still correctly out of scope for a hackathon sprint.</w:t>
      </w:r>
    </w:p>
    <w:p>
      <w:pPr>
        <w:spacing w:after="80" w:line="264"/>
      </w:pPr>
      <w:r>
        <w:rPr>
          <w:b/>
          <w:bCs/>
        </w:rPr>
        <w:t xml:space="preserve">8. </w:t>
      </w:r>
      <w:r>
        <w:t xml:space="preserve">Alembic migrations, structured logging + a Prometheus endpoint, containerization — unchanged, still correctly deferred.</w:t>
      </w:r>
    </w:p>
    <w:p>
      <w:pPr>
        <w:pStyle w:val="Heading2"/>
        <w:spacing w:after="120" w:before="320"/>
      </w:pPr>
      <w:r>
        <w:rPr>
          <w:b/>
          <w:bCs/>
          <w:sz w:val="24"/>
          <w:szCs w:val="24"/>
        </w:rPr>
        <w:t xml:space="preserve">What NOT to Change — equally important, unchanged in spirit</w:t>
      </w:r>
    </w:p>
    <w:p>
      <w:pPr>
        <w:spacing w:after="140" w:line="276"/>
      </w:pPr>
      <w:r>
        <w:t xml:space="preserve">A few things this audit found correct as-is, that would be actively worse if “fixed” under pressure to look more impressive: keep the segment-wise recall / row-wise precision metric even though it reports lower numbers than point-adjust would; keep publishing the unsupervised detector's real 0.006 precision; keep the two disconnected graph layers rather than inventing a connecting edge; keep the CII engine reporting a median/p5/p95 distribution rather than one number; and — new this edition — </w:t>
      </w:r>
      <w:r>
        <w:rPr>
          <w:b/>
          <w:bCs/>
        </w:rPr>
        <w:t xml:space="preserve">keep hybrid_gates_alerts off until it's actually re-measured, even under pressure to demo the new layer “doing something.”</w:t>
      </w:r>
      <w:r>
        <w:t xml:space="preserve"> Every one of these is a deliberate, documented honesty trade-off — the kind of thing that's easy to quietly walk back under demo pressure and shouldn't be.</w:t>
      </w:r>
    </w:p>
    <w:p>
      <w:pPr>
        <w:pStyle w:val="Heading2"/>
        <w:spacing w:after="120" w:before="320"/>
      </w:pPr>
      <w:r>
        <w:rPr>
          <w:b/>
          <w:bCs/>
          <w:sz w:val="24"/>
          <w:szCs w:val="24"/>
        </w:rPr>
        <w:t xml:space="preserve">Priority Summary</w:t>
      </w:r>
    </w:p>
    <w:tbl>
      <w:tblPr>
        <w:tblW w:type="pct" w:w="100%"/>
        <w:tblBorders>
          <w:top w:val="single" w:color="D8CBB0" w:sz="4"/>
          <w:left w:val="single" w:color="D8CBB0" w:sz="4"/>
          <w:bottom w:val="single" w:color="D8CBB0" w:sz="4"/>
          <w:right w:val="single" w:color="D8CBB0" w:sz="4"/>
          <w:insideH w:val="single" w:color="D8CBB0" w:sz="4"/>
          <w:insideV w:val="single" w:color="D8CBB0" w:sz="4"/>
        </w:tblBorders>
      </w:tblPr>
      <w:tblGrid>
        <w:gridCol w:w="100"/>
        <w:gridCol w:w="100"/>
        <w:gridCol w:w="100"/>
      </w:tblGrid>
      <w:tr>
        <w:trPr>
          <w:tblHeader/>
        </w:trPr>
        <w:tc>
          <w:tcPr>
            <w:tcW w:type="pct" w:w="16%"/>
            <w:shd w:fill="1C1917" w:val="clear"/>
            <w:tcMar>
              <w:top w:type="dxa" w:w="100"/>
              <w:left w:type="dxa" w:w="120"/>
              <w:bottom w:type="dxa" w:w="100"/>
              <w:right w:type="dxa" w:w="120"/>
            </w:tcMar>
            <w:vAlign w:val="center"/>
          </w:tcPr>
          <w:p>
            <w:r>
              <w:rPr>
                <w:b/>
                <w:bCs/>
                <w:color w:val="FFFFFF"/>
                <w:sz w:val="19"/>
                <w:szCs w:val="19"/>
              </w:rPr>
              <w:t xml:space="preserve">Phase</w:t>
            </w:r>
          </w:p>
        </w:tc>
        <w:tc>
          <w:tcPr>
            <w:tcW w:type="pct" w:w="28%"/>
            <w:shd w:fill="1C1917" w:val="clear"/>
            <w:tcMar>
              <w:top w:type="dxa" w:w="100"/>
              <w:left w:type="dxa" w:w="120"/>
              <w:bottom w:type="dxa" w:w="100"/>
              <w:right w:type="dxa" w:w="120"/>
            </w:tcMar>
            <w:vAlign w:val="center"/>
          </w:tcPr>
          <w:p>
            <w:r>
              <w:rPr>
                <w:b/>
                <w:bCs/>
                <w:color w:val="FFFFFF"/>
                <w:sz w:val="19"/>
                <w:szCs w:val="19"/>
              </w:rPr>
              <w:t xml:space="preserve">Status</w:t>
            </w:r>
          </w:p>
        </w:tc>
        <w:tc>
          <w:tcPr>
            <w:tcW w:type="pct" w:w="56%"/>
            <w:shd w:fill="1C1917" w:val="clear"/>
            <w:tcMar>
              <w:top w:type="dxa" w:w="100"/>
              <w:left w:type="dxa" w:w="120"/>
              <w:bottom w:type="dxa" w:w="100"/>
              <w:right w:type="dxa" w:w="120"/>
            </w:tcMar>
            <w:vAlign w:val="center"/>
          </w:tcPr>
          <w:p>
            <w:r>
              <w:rPr>
                <w:b/>
                <w:bCs/>
                <w:color w:val="FFFFFF"/>
                <w:sz w:val="19"/>
                <w:szCs w:val="19"/>
              </w:rPr>
              <w:t xml:space="preserve">Primary risk it closed / closes</w:t>
            </w:r>
          </w:p>
        </w:tc>
      </w:tr>
      <w:tr>
        <w:tc>
          <w:tcPr>
            <w:tcW w:type="pct" w:w="16%"/>
            <w:tcMar>
              <w:top w:type="dxa" w:w="100"/>
              <w:left w:type="dxa" w:w="120"/>
              <w:bottom w:type="dxa" w:w="100"/>
              <w:right w:type="dxa" w:w="120"/>
            </w:tcMar>
            <w:vAlign w:val="center"/>
          </w:tcPr>
          <w:p>
            <w:r>
              <w:rPr>
                <w:sz w:val="20"/>
                <w:szCs w:val="20"/>
              </w:rPr>
              <w:t xml:space="preserve">A</w:t>
            </w:r>
          </w:p>
        </w:tc>
        <w:tc>
          <w:tcPr>
            <w:tcW w:type="pct" w:w="28%"/>
            <w:tcMar>
              <w:top w:type="dxa" w:w="100"/>
              <w:left w:type="dxa" w:w="120"/>
              <w:bottom w:type="dxa" w:w="100"/>
              <w:right w:type="dxa" w:w="120"/>
            </w:tcMar>
            <w:vAlign w:val="center"/>
          </w:tcPr>
          <w:p>
            <w:r>
              <w:rPr>
                <w:sz w:val="20"/>
                <w:szCs w:val="20"/>
              </w:rPr>
              <w:t xml:space="preserve">COMPLETE</w:t>
            </w:r>
          </w:p>
        </w:tc>
        <w:tc>
          <w:tcPr>
            <w:tcW w:type="pct" w:w="56%"/>
            <w:tcMar>
              <w:top w:type="dxa" w:w="100"/>
              <w:left w:type="dxa" w:w="120"/>
              <w:bottom w:type="dxa" w:w="100"/>
              <w:right w:type="dxa" w:w="120"/>
            </w:tcMar>
            <w:vAlign w:val="center"/>
          </w:tcPr>
          <w:p>
            <w:r>
              <w:rPr>
                <w:sz w:val="20"/>
                <w:szCs w:val="20"/>
              </w:rPr>
              <w:t xml:space="preserve">Live demo failure — resolved</w:t>
            </w:r>
          </w:p>
        </w:tc>
      </w:tr>
      <w:tr>
        <w:tc>
          <w:tcPr>
            <w:tcW w:type="pct" w:w="16%"/>
            <w:shd w:fill="F5F0E8" w:val="clear"/>
            <w:tcMar>
              <w:top w:type="dxa" w:w="100"/>
              <w:left w:type="dxa" w:w="120"/>
              <w:bottom w:type="dxa" w:w="100"/>
              <w:right w:type="dxa" w:w="120"/>
            </w:tcMar>
            <w:vAlign w:val="center"/>
          </w:tcPr>
          <w:p>
            <w:r>
              <w:rPr>
                <w:sz w:val="20"/>
                <w:szCs w:val="20"/>
              </w:rPr>
              <w:t xml:space="preserve">B</w:t>
            </w:r>
          </w:p>
        </w:tc>
        <w:tc>
          <w:tcPr>
            <w:tcW w:type="pct" w:w="28%"/>
            <w:shd w:fill="F5F0E8" w:val="clear"/>
            <w:tcMar>
              <w:top w:type="dxa" w:w="100"/>
              <w:left w:type="dxa" w:w="120"/>
              <w:bottom w:type="dxa" w:w="100"/>
              <w:right w:type="dxa" w:w="120"/>
            </w:tcMar>
            <w:vAlign w:val="center"/>
          </w:tcPr>
          <w:p>
            <w:r>
              <w:rPr>
                <w:sz w:val="20"/>
                <w:szCs w:val="20"/>
              </w:rPr>
              <w:t xml:space="preserve">COMPLETE</w:t>
            </w:r>
          </w:p>
        </w:tc>
        <w:tc>
          <w:tcPr>
            <w:tcW w:type="pct" w:w="56%"/>
            <w:shd w:fill="F5F0E8" w:val="clear"/>
            <w:tcMar>
              <w:top w:type="dxa" w:w="100"/>
              <w:left w:type="dxa" w:w="120"/>
              <w:bottom w:type="dxa" w:w="100"/>
              <w:right w:type="dxa" w:w="120"/>
            </w:tcMar>
            <w:vAlign w:val="center"/>
          </w:tcPr>
          <w:p>
            <w:r>
              <w:rPr>
                <w:sz w:val="20"/>
                <w:szCs w:val="20"/>
              </w:rPr>
              <w:t xml:space="preserve">Security exposure, credibility gap — substantially closed, not eliminated</w:t>
            </w:r>
          </w:p>
        </w:tc>
      </w:tr>
      <w:tr>
        <w:tc>
          <w:tcPr>
            <w:tcW w:type="pct" w:w="16%"/>
            <w:tcMar>
              <w:top w:type="dxa" w:w="100"/>
              <w:left w:type="dxa" w:w="120"/>
              <w:bottom w:type="dxa" w:w="100"/>
              <w:right w:type="dxa" w:w="120"/>
            </w:tcMar>
            <w:vAlign w:val="center"/>
          </w:tcPr>
          <w:p>
            <w:r>
              <w:rPr>
                <w:sz w:val="20"/>
                <w:szCs w:val="20"/>
              </w:rPr>
              <w:t xml:space="preserve">C</w:t>
            </w:r>
          </w:p>
        </w:tc>
        <w:tc>
          <w:tcPr>
            <w:tcW w:type="pct" w:w="28%"/>
            <w:tcMar>
              <w:top w:type="dxa" w:w="100"/>
              <w:left w:type="dxa" w:w="120"/>
              <w:bottom w:type="dxa" w:w="100"/>
              <w:right w:type="dxa" w:w="120"/>
            </w:tcMar>
            <w:vAlign w:val="center"/>
          </w:tcPr>
          <w:p>
            <w:r>
              <w:rPr>
                <w:sz w:val="20"/>
                <w:szCs w:val="20"/>
              </w:rPr>
              <w:t xml:space="preserve">COMPLETE</w:t>
            </w:r>
          </w:p>
        </w:tc>
        <w:tc>
          <w:tcPr>
            <w:tcW w:type="pct" w:w="56%"/>
            <w:tcMar>
              <w:top w:type="dxa" w:w="100"/>
              <w:left w:type="dxa" w:w="120"/>
              <w:bottom w:type="dxa" w:w="100"/>
              <w:right w:type="dxa" w:w="120"/>
            </w:tcMar>
            <w:vAlign w:val="center"/>
          </w:tcPr>
          <w:p>
            <w:r>
              <w:rPr>
                <w:sz w:val="20"/>
                <w:szCs w:val="20"/>
              </w:rPr>
              <w:t xml:space="preserve">Methodology challenge from a careful reviewer — closed</w:t>
            </w:r>
          </w:p>
        </w:tc>
      </w:tr>
      <w:tr>
        <w:tc>
          <w:tcPr>
            <w:tcW w:type="pct" w:w="16%"/>
            <w:shd w:fill="F5F0E8" w:val="clear"/>
            <w:tcMar>
              <w:top w:type="dxa" w:w="100"/>
              <w:left w:type="dxa" w:w="120"/>
              <w:bottom w:type="dxa" w:w="100"/>
              <w:right w:type="dxa" w:w="120"/>
            </w:tcMar>
            <w:vAlign w:val="center"/>
          </w:tcPr>
          <w:p>
            <w:r>
              <w:rPr>
                <w:sz w:val="20"/>
                <w:szCs w:val="20"/>
              </w:rPr>
              <w:t xml:space="preserve">Beyond-plan fixes</w:t>
            </w:r>
          </w:p>
        </w:tc>
        <w:tc>
          <w:tcPr>
            <w:tcW w:type="pct" w:w="28%"/>
            <w:shd w:fill="F5F0E8" w:val="clear"/>
            <w:tcMar>
              <w:top w:type="dxa" w:w="100"/>
              <w:left w:type="dxa" w:w="120"/>
              <w:bottom w:type="dxa" w:w="100"/>
              <w:right w:type="dxa" w:w="120"/>
            </w:tcMar>
            <w:vAlign w:val="center"/>
          </w:tcPr>
          <w:p>
            <w:r>
              <w:rPr>
                <w:sz w:val="20"/>
                <w:szCs w:val="20"/>
              </w:rPr>
              <w:t xml:space="preserve">COMPLETE</w:t>
            </w:r>
          </w:p>
        </w:tc>
        <w:tc>
          <w:tcPr>
            <w:tcW w:type="pct" w:w="56%"/>
            <w:shd w:fill="F5F0E8" w:val="clear"/>
            <w:tcMar>
              <w:top w:type="dxa" w:w="100"/>
              <w:left w:type="dxa" w:w="120"/>
              <w:bottom w:type="dxa" w:w="100"/>
              <w:right w:type="dxa" w:w="120"/>
            </w:tcMar>
            <w:vAlign w:val="center"/>
          </w:tcPr>
          <w:p>
            <w:r>
              <w:rPr>
                <w:sz w:val="20"/>
                <w:szCs w:val="20"/>
              </w:rPr>
              <w:t xml:space="preserve">Real, previously-unknown bugs found by live verification, not a prior audit — a demonstrated discipline, not a coincidence</w:t>
            </w:r>
          </w:p>
        </w:tc>
      </w:tr>
      <w:tr>
        <w:tc>
          <w:tcPr>
            <w:tcW w:type="pct" w:w="16%"/>
            <w:tcMar>
              <w:top w:type="dxa" w:w="100"/>
              <w:left w:type="dxa" w:w="120"/>
              <w:bottom w:type="dxa" w:w="100"/>
              <w:right w:type="dxa" w:w="120"/>
            </w:tcMar>
            <w:vAlign w:val="center"/>
          </w:tcPr>
          <w:p>
            <w:r>
              <w:rPr>
                <w:sz w:val="20"/>
                <w:szCs w:val="20"/>
              </w:rPr>
              <w:t xml:space="preserve">Hybrid IDS</w:t>
            </w:r>
          </w:p>
        </w:tc>
        <w:tc>
          <w:tcPr>
            <w:tcW w:type="pct" w:w="28%"/>
            <w:tcMar>
              <w:top w:type="dxa" w:w="100"/>
              <w:left w:type="dxa" w:w="120"/>
              <w:bottom w:type="dxa" w:w="100"/>
              <w:right w:type="dxa" w:w="120"/>
            </w:tcMar>
            <w:vAlign w:val="center"/>
          </w:tcPr>
          <w:p>
            <w:r>
              <w:rPr>
                <w:sz w:val="20"/>
                <w:szCs w:val="20"/>
              </w:rPr>
              <w:t xml:space="preserve">SHIPPED, observable-not-authoritative</w:t>
            </w:r>
          </w:p>
        </w:tc>
        <w:tc>
          <w:tcPr>
            <w:tcW w:type="pct" w:w="56%"/>
            <w:tcMar>
              <w:top w:type="dxa" w:w="100"/>
              <w:left w:type="dxa" w:w="120"/>
              <w:bottom w:type="dxa" w:w="100"/>
              <w:right w:type="dxa" w:w="120"/>
            </w:tcMar>
            <w:vAlign w:val="center"/>
          </w:tcPr>
          <w:p>
            <w:r>
              <w:rPr>
                <w:sz w:val="20"/>
                <w:szCs w:val="20"/>
              </w:rPr>
              <w:t xml:space="preserve">The volumetric channel's exact documented blind spot — new capability, deliberately conservative rollout</w:t>
            </w:r>
          </w:p>
        </w:tc>
      </w:tr>
      <w:tr>
        <w:tc>
          <w:tcPr>
            <w:tcW w:type="pct" w:w="16%"/>
            <w:shd w:fill="F5F0E8" w:val="clear"/>
            <w:tcMar>
              <w:top w:type="dxa" w:w="100"/>
              <w:left w:type="dxa" w:w="120"/>
              <w:bottom w:type="dxa" w:w="100"/>
              <w:right w:type="dxa" w:w="120"/>
            </w:tcMar>
            <w:vAlign w:val="center"/>
          </w:tcPr>
          <w:p>
            <w:r>
              <w:rPr>
                <w:sz w:val="20"/>
                <w:szCs w:val="20"/>
              </w:rPr>
              <w:t xml:space="preserve">NEW near-term</w:t>
            </w:r>
          </w:p>
        </w:tc>
        <w:tc>
          <w:tcPr>
            <w:tcW w:type="pct" w:w="28%"/>
            <w:shd w:fill="F5F0E8" w:val="clear"/>
            <w:tcMar>
              <w:top w:type="dxa" w:w="100"/>
              <w:left w:type="dxa" w:w="120"/>
              <w:bottom w:type="dxa" w:w="100"/>
              <w:right w:type="dxa" w:w="120"/>
            </w:tcMar>
            <w:vAlign w:val="center"/>
          </w:tcPr>
          <w:p>
            <w:r>
              <w:rPr>
                <w:sz w:val="20"/>
                <w:szCs w:val="20"/>
              </w:rPr>
              <w:t xml:space="preserve">Not started</w:t>
            </w:r>
          </w:p>
        </w:tc>
        <w:tc>
          <w:tcPr>
            <w:tcW w:type="pct" w:w="56%"/>
            <w:shd w:fill="F5F0E8" w:val="clear"/>
            <w:tcMar>
              <w:top w:type="dxa" w:w="100"/>
              <w:left w:type="dxa" w:w="120"/>
              <w:bottom w:type="dxa" w:w="100"/>
              <w:right w:type="dxa" w:w="120"/>
            </w:tcMar>
            <w:vAlign w:val="center"/>
          </w:tcPr>
          <w:p>
            <w:r>
              <w:rPr>
                <w:sz w:val="20"/>
                <w:szCs w:val="20"/>
              </w:rPr>
              <w:t xml:space="preserve">Whether the new layer's own authority is trustworthy enough to act on</w:t>
            </w:r>
          </w:p>
        </w:tc>
      </w:tr>
      <w:tr>
        <w:tc>
          <w:tcPr>
            <w:tcW w:type="pct" w:w="16%"/>
            <w:tcMar>
              <w:top w:type="dxa" w:w="100"/>
              <w:left w:type="dxa" w:w="120"/>
              <w:bottom w:type="dxa" w:w="100"/>
              <w:right w:type="dxa" w:w="120"/>
            </w:tcMar>
            <w:vAlign w:val="center"/>
          </w:tcPr>
          <w:p>
            <w:r>
              <w:rPr>
                <w:sz w:val="20"/>
                <w:szCs w:val="20"/>
              </w:rPr>
              <w:t xml:space="preserve">NEW research-grade</w:t>
            </w:r>
          </w:p>
        </w:tc>
        <w:tc>
          <w:tcPr>
            <w:tcW w:type="pct" w:w="28%"/>
            <w:tcMar>
              <w:top w:type="dxa" w:w="100"/>
              <w:left w:type="dxa" w:w="120"/>
              <w:bottom w:type="dxa" w:w="100"/>
              <w:right w:type="dxa" w:w="120"/>
            </w:tcMar>
            <w:vAlign w:val="center"/>
          </w:tcPr>
          <w:p>
            <w:r>
              <w:rPr>
                <w:sz w:val="20"/>
                <w:szCs w:val="20"/>
              </w:rPr>
              <w:t xml:space="preserve">Not started</w:t>
            </w:r>
          </w:p>
        </w:tc>
        <w:tc>
          <w:tcPr>
            <w:tcW w:type="pct" w:w="56%"/>
            <w:tcMar>
              <w:top w:type="dxa" w:w="100"/>
              <w:left w:type="dxa" w:w="120"/>
              <w:bottom w:type="dxa" w:w="100"/>
              <w:right w:type="dxa" w:w="120"/>
            </w:tcMar>
            <w:vAlign w:val="center"/>
          </w:tcPr>
          <w:p>
            <w:r>
              <w:rPr>
                <w:sz w:val="20"/>
                <w:szCs w:val="20"/>
              </w:rPr>
              <w:t xml:space="preserve">The valid-credential attacker blind spot common to all five current channels</w:t>
            </w:r>
          </w:p>
        </w:tc>
      </w:tr>
      <w:tr>
        <w:tc>
          <w:tcPr>
            <w:tcW w:type="pct" w:w="16%"/>
            <w:shd w:fill="F5F0E8" w:val="clear"/>
            <w:tcMar>
              <w:top w:type="dxa" w:w="100"/>
              <w:left w:type="dxa" w:w="120"/>
              <w:bottom w:type="dxa" w:w="100"/>
              <w:right w:type="dxa" w:w="120"/>
            </w:tcMar>
            <w:vAlign w:val="center"/>
          </w:tcPr>
          <w:p>
            <w:r>
              <w:rPr>
                <w:sz w:val="20"/>
                <w:szCs w:val="20"/>
              </w:rPr>
              <w:t xml:space="preserve">Path to production</w:t>
            </w:r>
          </w:p>
        </w:tc>
        <w:tc>
          <w:tcPr>
            <w:tcW w:type="pct" w:w="28%"/>
            <w:shd w:fill="F5F0E8" w:val="clear"/>
            <w:tcMar>
              <w:top w:type="dxa" w:w="100"/>
              <w:left w:type="dxa" w:w="120"/>
              <w:bottom w:type="dxa" w:w="100"/>
              <w:right w:type="dxa" w:w="120"/>
            </w:tcMar>
            <w:vAlign w:val="center"/>
          </w:tcPr>
          <w:p>
            <w:r>
              <w:rPr>
                <w:sz w:val="20"/>
                <w:szCs w:val="20"/>
              </w:rPr>
              <w:t xml:space="preserve">Not started, correctly deferred</w:t>
            </w:r>
          </w:p>
        </w:tc>
        <w:tc>
          <w:tcPr>
            <w:tcW w:type="pct" w:w="56%"/>
            <w:shd w:fill="F5F0E8" w:val="clear"/>
            <w:tcMar>
              <w:top w:type="dxa" w:w="100"/>
              <w:left w:type="dxa" w:w="120"/>
              <w:bottom w:type="dxa" w:w="100"/>
              <w:right w:type="dxa" w:w="120"/>
            </w:tcMar>
            <w:vAlign w:val="center"/>
          </w:tcPr>
          <w:p>
            <w:r>
              <w:rPr>
                <w:sz w:val="20"/>
                <w:szCs w:val="20"/>
              </w:rPr>
              <w:t xml:space="preserve">Real-world deployment readiness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2026-09-03T17:38:06.394Z</dcterms:created>
  <dcterms:modified xsi:type="dcterms:W3CDTF">2026-09-03T17:38:06.395Z</dcterms:modified>
</cp:coreProperties>
</file>

<file path=docProps/custom.xml><?xml version="1.0" encoding="utf-8"?>
<Properties xmlns="http://schemas.openxmlformats.org/officeDocument/2006/custom-properties" xmlns:vt="http://schemas.openxmlformats.org/officeDocument/2006/docPropsVTypes"/>
</file>