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2C4EC" w14:textId="402AF16E" w:rsidR="0049036E" w:rsidRDefault="000B7830">
      <w:pPr>
        <w:spacing w:after="50"/>
        <w:jc w:val="center"/>
      </w:pPr>
      <w:r>
        <w:rPr>
          <w:b/>
          <w:bCs/>
          <w:color w:val="1F3864"/>
          <w:sz w:val="32"/>
          <w:szCs w:val="32"/>
        </w:rPr>
        <w:t>Content Management in Health Care: From Written Policy to Executable Claim Rules</w:t>
      </w:r>
    </w:p>
    <w:p w14:paraId="52595D30" w14:textId="185ECB29" w:rsidR="0049036E" w:rsidRDefault="00000000">
      <w:pPr>
        <w:spacing w:after="200"/>
        <w:jc w:val="center"/>
      </w:pPr>
      <w:r>
        <w:rPr>
          <w:i/>
          <w:iCs/>
          <w:color w:val="595959"/>
          <w:sz w:val="20"/>
          <w:szCs w:val="20"/>
        </w:rPr>
        <w:t xml:space="preserve">Ishan </w:t>
      </w:r>
      <w:r w:rsidR="000B7830">
        <w:rPr>
          <w:i/>
          <w:iCs/>
          <w:color w:val="595959"/>
          <w:sz w:val="20"/>
          <w:szCs w:val="20"/>
        </w:rPr>
        <w:t>Sharma | Cotiviti</w:t>
      </w:r>
      <w:r>
        <w:rPr>
          <w:i/>
          <w:iCs/>
          <w:color w:val="595959"/>
          <w:sz w:val="20"/>
          <w:szCs w:val="20"/>
        </w:rPr>
        <w:t xml:space="preserve"> AI/ML Intern </w:t>
      </w:r>
      <w:r w:rsidR="000B7830">
        <w:rPr>
          <w:i/>
          <w:iCs/>
          <w:color w:val="595959"/>
          <w:sz w:val="20"/>
          <w:szCs w:val="20"/>
        </w:rPr>
        <w:t>Assessment | June</w:t>
      </w:r>
      <w:r>
        <w:rPr>
          <w:i/>
          <w:iCs/>
          <w:color w:val="595959"/>
          <w:sz w:val="20"/>
          <w:szCs w:val="20"/>
        </w:rPr>
        <w:t xml:space="preserve"> 2026</w:t>
      </w:r>
    </w:p>
    <w:p w14:paraId="4958D0E8" w14:textId="77777777" w:rsidR="0049036E" w:rsidRDefault="00000000">
      <w:pPr>
        <w:pStyle w:val="Heading2"/>
      </w:pPr>
      <w:r>
        <w:t>Introduction</w:t>
      </w:r>
    </w:p>
    <w:p w14:paraId="39F9C273" w14:textId="02F3DF3A" w:rsidR="000D2CC7" w:rsidRPr="002A4226" w:rsidRDefault="000D2CC7" w:rsidP="000D2CC7">
      <w:pPr>
        <w:spacing w:after="130"/>
        <w:rPr>
          <w:sz w:val="20"/>
          <w:szCs w:val="20"/>
        </w:rPr>
      </w:pPr>
      <w:r>
        <w:rPr>
          <w:sz w:val="20"/>
          <w:szCs w:val="20"/>
        </w:rPr>
        <w:t xml:space="preserve">In FY 2025, CMS reported an estimated $28.83 billion in Medicare Fee-for-Service improper payments and $37.39 billion in Medicaid improper payments (Centers for Medicare &amp; Medicaid Services, 2026). Many of these improper payments were tied to insufficient documentation, missing administrative steps, or claims that did not meet program requirements. </w:t>
      </w:r>
      <w:r w:rsidR="000B7830" w:rsidRPr="000B7830">
        <w:rPr>
          <w:sz w:val="20"/>
          <w:szCs w:val="20"/>
        </w:rPr>
        <w:t>This highlights a core problem in healthcare payment integrity, since policy content is written in natural language for human experts while claim-review systems need structured, testable, and auditable logic.</w:t>
      </w:r>
    </w:p>
    <w:p w14:paraId="3DA59AA2" w14:textId="77777777" w:rsidR="000D2CC7" w:rsidRPr="002A4226" w:rsidRDefault="000D2CC7" w:rsidP="000D2CC7">
      <w:pPr>
        <w:spacing w:after="130"/>
        <w:rPr>
          <w:sz w:val="20"/>
          <w:szCs w:val="20"/>
        </w:rPr>
      </w:pPr>
      <w:r>
        <w:rPr>
          <w:sz w:val="20"/>
          <w:szCs w:val="20"/>
        </w:rPr>
        <w:t>Healthcare policy translation is difficult because policies are dense, conditional, and frequently updated. A single payment or coding policy may include coverage criteria, exclusions, documentation requirements and a lot more information. Subject matter experts and technical teams must interpret the policy, convert it into rule logic, test it, and explain the result when a claim is flagged. This creates a practical handoff problem between policy experts and implementation teams, where important details can be delayed or lost. Traditional machine learning can help identify unusual claim patterns, but payment integrity decisions often require traceable reasoning like which policy requirement was met, which was missing, and what evidence supports the result.</w:t>
      </w:r>
    </w:p>
    <w:p w14:paraId="2B57ADC9" w14:textId="19D396E9" w:rsidR="002A4226" w:rsidRPr="000B7830" w:rsidRDefault="000B7830" w:rsidP="000B7830">
      <w:pPr>
        <w:spacing w:after="130"/>
        <w:rPr>
          <w:sz w:val="20"/>
          <w:szCs w:val="20"/>
        </w:rPr>
      </w:pPr>
      <w:r w:rsidRPr="000B7830">
        <w:rPr>
          <w:sz w:val="20"/>
          <w:szCs w:val="20"/>
        </w:rPr>
        <w:t>This report focuses on one part of healthcare content management. Specifically, it looks at converting written payment and coding policy into executable claim-review rules</w:t>
      </w:r>
      <w:r w:rsidR="000D2CC7">
        <w:rPr>
          <w:sz w:val="20"/>
          <w:szCs w:val="20"/>
        </w:rPr>
        <w:t>. The sections that follow examine current trends in this space, weigh the opportunities and threats for Cotiviti, and propose options for Cotiviti to evaluate.</w:t>
      </w:r>
    </w:p>
    <w:p w14:paraId="695C520E" w14:textId="61E50E05" w:rsidR="0049036E" w:rsidRDefault="00000000">
      <w:pPr>
        <w:pStyle w:val="Heading2"/>
      </w:pPr>
      <w:r>
        <w:t>Current Trends and Existing Solutions</w:t>
      </w:r>
    </w:p>
    <w:p w14:paraId="23EE30C4" w14:textId="77777777" w:rsidR="000D2CC7" w:rsidRPr="000144E4" w:rsidRDefault="000D2CC7" w:rsidP="000D2CC7">
      <w:pPr>
        <w:spacing w:after="130"/>
        <w:rPr>
          <w:sz w:val="20"/>
          <w:szCs w:val="20"/>
        </w:rPr>
      </w:pPr>
      <w:r>
        <w:rPr>
          <w:sz w:val="20"/>
          <w:szCs w:val="20"/>
        </w:rPr>
        <w:t>Several trends in the broader industry make policy-to-rule automation timely. Healthcare administration is moving from manual, portal-based, and document-heavy workflows toward more structured digital exchange. CMS’s Interoperability and Prior Authorization Final Rule requires impacted payers to support APIs for patient access, provider access, payer-to-payer exchange, and prior authorization information, with major API requirements beginning in 2027 (Centers for Medicare &amp; Medicaid Services, 2024). At the same time, industry standards such as HL7 Da Vinci Coverage Requirements Discovery, Documentation Templates and Rules, and Prior Authorization Support are pushing payers and providers toward more machine-readable ways to communicate coverage requirements, required documentation, and authorization information, and are already published and supporting payer-provider workflows industry-wide (HL7 International, 2026).</w:t>
      </w:r>
    </w:p>
    <w:p w14:paraId="03D1A573" w14:textId="5720048D" w:rsidR="000D2CC7" w:rsidRPr="000144E4" w:rsidRDefault="000D2CC7" w:rsidP="000D2CC7">
      <w:pPr>
        <w:spacing w:after="130"/>
        <w:rPr>
          <w:sz w:val="20"/>
          <w:szCs w:val="20"/>
        </w:rPr>
      </w:pPr>
      <w:r>
        <w:rPr>
          <w:sz w:val="20"/>
          <w:szCs w:val="20"/>
        </w:rPr>
        <w:t>Existing solutions address parts of this workflow through electronic prior authorization platforms, claim editing systems, payment policy management tools, coding validation, and AI-assisted claim review. These systems help collect documentation, apply known edits, prioritize claims for review, and support expert decision-making.</w:t>
      </w:r>
      <w:r w:rsidR="000B7830">
        <w:rPr>
          <w:sz w:val="20"/>
          <w:szCs w:val="20"/>
        </w:rPr>
        <w:t xml:space="preserve"> </w:t>
      </w:r>
      <w:r w:rsidR="000B7830" w:rsidRPr="000B7830">
        <w:rPr>
          <w:sz w:val="20"/>
          <w:szCs w:val="20"/>
        </w:rPr>
        <w:t>However, written policy still has to be interpreted and converted into structured rules before these systems can test, explain, or execute it consistently, which remains a key upstream bottleneck.</w:t>
      </w:r>
      <w:r w:rsidR="000B7830">
        <w:rPr>
          <w:sz w:val="20"/>
          <w:szCs w:val="20"/>
        </w:rPr>
        <w:t xml:space="preserve"> </w:t>
      </w:r>
      <w:r>
        <w:rPr>
          <w:sz w:val="20"/>
          <w:szCs w:val="20"/>
        </w:rPr>
        <w:t>This creates an opportunity for GenAI to support policy interpretation and rule drafting, while keeping validation, deterministic execution, and expert review in control.</w:t>
      </w:r>
    </w:p>
    <w:p w14:paraId="3C36AC3B" w14:textId="77777777" w:rsidR="0049036E" w:rsidRDefault="00000000" w:rsidP="00295E46">
      <w:pPr>
        <w:pStyle w:val="Heading2"/>
        <w:spacing w:before="200" w:after="80"/>
      </w:pPr>
      <w:r>
        <w:t>Opportunities and Threats</w:t>
      </w:r>
    </w:p>
    <w:tbl>
      <w:tblPr>
        <w:tblStyle w:val="TableGrid"/>
        <w:tblW w:w="0" w:type="auto"/>
        <w:tblLook w:val="04A0" w:firstRow="1" w:lastRow="0" w:firstColumn="1" w:lastColumn="0" w:noHBand="0" w:noVBand="1"/>
      </w:tblPr>
      <w:tblGrid>
        <w:gridCol w:w="4675"/>
        <w:gridCol w:w="4675"/>
      </w:tblGrid>
      <w:tr w:rsidR="00295E46" w14:paraId="2FE2ADFA" w14:textId="77777777" w:rsidTr="00295E46">
        <w:tc>
          <w:tcPr>
            <w:tcW w:w="4675" w:type="dxa"/>
          </w:tcPr>
          <w:p w14:paraId="6F7259C9" w14:textId="53A6D2FD" w:rsidR="00295E46" w:rsidRDefault="00295E46" w:rsidP="00295E46">
            <w:pPr>
              <w:pStyle w:val="Heading2"/>
              <w:spacing w:before="200" w:after="80"/>
            </w:pPr>
            <w:r>
              <w:t>Opportunities</w:t>
            </w:r>
          </w:p>
        </w:tc>
        <w:tc>
          <w:tcPr>
            <w:tcW w:w="4675" w:type="dxa"/>
          </w:tcPr>
          <w:p w14:paraId="10EB59DA" w14:textId="744C5011" w:rsidR="00295E46" w:rsidRDefault="00295E46" w:rsidP="00295E46">
            <w:pPr>
              <w:pStyle w:val="Heading2"/>
              <w:spacing w:before="200" w:after="80"/>
            </w:pPr>
            <w:r>
              <w:t>Threats</w:t>
            </w:r>
          </w:p>
        </w:tc>
      </w:tr>
      <w:tr w:rsidR="00295E46" w14:paraId="0A3609C0" w14:textId="77777777" w:rsidTr="00295E46">
        <w:tc>
          <w:tcPr>
            <w:tcW w:w="4675" w:type="dxa"/>
          </w:tcPr>
          <w:p w14:paraId="501C9B41" w14:textId="77777777" w:rsidR="00295E46" w:rsidRDefault="00295E46" w:rsidP="00295E46">
            <w:pPr>
              <w:pStyle w:val="ListParagraph"/>
              <w:numPr>
                <w:ilvl w:val="0"/>
                <w:numId w:val="2"/>
              </w:numPr>
              <w:spacing w:after="50"/>
            </w:pPr>
            <w:r w:rsidRPr="000144E4">
              <w:rPr>
                <w:b/>
                <w:bCs/>
                <w:sz w:val="19"/>
                <w:szCs w:val="19"/>
              </w:rPr>
              <w:t>Faster policy implementation:</w:t>
            </w:r>
            <w:r>
              <w:rPr>
                <w:sz w:val="19"/>
                <w:szCs w:val="19"/>
              </w:rPr>
              <w:t xml:space="preserve"> converts new or updated policy language into draft claim-review logic more quickly.</w:t>
            </w:r>
          </w:p>
          <w:p w14:paraId="747CFC54" w14:textId="77777777" w:rsidR="00295E46" w:rsidRDefault="00295E46" w:rsidP="00295E46">
            <w:pPr>
              <w:pStyle w:val="ListParagraph"/>
              <w:numPr>
                <w:ilvl w:val="0"/>
                <w:numId w:val="2"/>
              </w:numPr>
              <w:spacing w:after="50"/>
            </w:pPr>
            <w:r w:rsidRPr="000144E4">
              <w:rPr>
                <w:b/>
                <w:bCs/>
                <w:sz w:val="19"/>
                <w:szCs w:val="19"/>
              </w:rPr>
              <w:t>Reduced manual burden:</w:t>
            </w:r>
            <w:r>
              <w:rPr>
                <w:sz w:val="19"/>
                <w:szCs w:val="19"/>
              </w:rPr>
              <w:t xml:space="preserve"> helps SMEs, coders, analysts, and engineers spend less time translating policy text by hand.</w:t>
            </w:r>
          </w:p>
          <w:p w14:paraId="79E91C0C" w14:textId="77777777" w:rsidR="00295E46" w:rsidRDefault="00295E46" w:rsidP="00295E46">
            <w:pPr>
              <w:pStyle w:val="ListParagraph"/>
              <w:numPr>
                <w:ilvl w:val="0"/>
                <w:numId w:val="2"/>
              </w:numPr>
              <w:spacing w:after="50"/>
            </w:pPr>
            <w:r w:rsidRPr="000144E4">
              <w:rPr>
                <w:b/>
                <w:bCs/>
                <w:sz w:val="19"/>
                <w:szCs w:val="19"/>
              </w:rPr>
              <w:t>Stronger auditability:</w:t>
            </w:r>
            <w:r>
              <w:rPr>
                <w:sz w:val="19"/>
                <w:szCs w:val="19"/>
              </w:rPr>
              <w:t xml:space="preserve"> links each rule to source policy evidence and preserves reviewer actions.</w:t>
            </w:r>
          </w:p>
          <w:p w14:paraId="7EE5EA2C" w14:textId="77777777" w:rsidR="00295E46" w:rsidRPr="000144E4" w:rsidRDefault="00295E46" w:rsidP="00295E46">
            <w:pPr>
              <w:pStyle w:val="ListParagraph"/>
              <w:numPr>
                <w:ilvl w:val="0"/>
                <w:numId w:val="2"/>
              </w:numPr>
              <w:spacing w:after="50"/>
            </w:pPr>
            <w:r w:rsidRPr="000144E4">
              <w:rPr>
                <w:b/>
                <w:bCs/>
                <w:sz w:val="19"/>
                <w:szCs w:val="19"/>
              </w:rPr>
              <w:lastRenderedPageBreak/>
              <w:t xml:space="preserve">Clearer reviewer context: </w:t>
            </w:r>
            <w:r w:rsidRPr="000144E4">
              <w:rPr>
                <w:sz w:val="19"/>
                <w:szCs w:val="19"/>
              </w:rPr>
              <w:t>provides plain-language explanations and source evidence instead of only model scores or black-box predictions</w:t>
            </w:r>
            <w:r w:rsidRPr="000144E4">
              <w:rPr>
                <w:b/>
                <w:bCs/>
                <w:sz w:val="19"/>
                <w:szCs w:val="19"/>
              </w:rPr>
              <w:t>.</w:t>
            </w:r>
          </w:p>
          <w:p w14:paraId="6101C69B" w14:textId="555596E4" w:rsidR="00295E46" w:rsidRDefault="00295E46" w:rsidP="00295E46">
            <w:pPr>
              <w:pStyle w:val="ListParagraph"/>
              <w:numPr>
                <w:ilvl w:val="0"/>
                <w:numId w:val="2"/>
              </w:numPr>
              <w:spacing w:after="50"/>
            </w:pPr>
            <w:r w:rsidRPr="000144E4">
              <w:rPr>
                <w:b/>
                <w:bCs/>
                <w:sz w:val="19"/>
                <w:szCs w:val="19"/>
              </w:rPr>
              <w:t xml:space="preserve">Incremental integration path: </w:t>
            </w:r>
            <w:r w:rsidRPr="00295E46">
              <w:rPr>
                <w:sz w:val="19"/>
                <w:szCs w:val="19"/>
              </w:rPr>
              <w:t>could start as an upstream drafting and review layer before any connection to production rule engines.</w:t>
            </w:r>
          </w:p>
        </w:tc>
        <w:tc>
          <w:tcPr>
            <w:tcW w:w="4675" w:type="dxa"/>
          </w:tcPr>
          <w:p w14:paraId="61FA1729" w14:textId="77777777" w:rsidR="00295E46" w:rsidRDefault="00295E46" w:rsidP="00295E46">
            <w:pPr>
              <w:pStyle w:val="ListParagraph"/>
              <w:numPr>
                <w:ilvl w:val="0"/>
                <w:numId w:val="2"/>
              </w:numPr>
              <w:spacing w:after="50"/>
            </w:pPr>
            <w:r w:rsidRPr="000144E4">
              <w:rPr>
                <w:b/>
                <w:bCs/>
                <w:sz w:val="19"/>
                <w:szCs w:val="19"/>
              </w:rPr>
              <w:lastRenderedPageBreak/>
              <w:t>Incorrect rule extraction:</w:t>
            </w:r>
            <w:r>
              <w:rPr>
                <w:sz w:val="19"/>
                <w:szCs w:val="19"/>
              </w:rPr>
              <w:t xml:space="preserve"> an LLM may miss exceptions, misread policy language, or create incomplete logic.</w:t>
            </w:r>
          </w:p>
          <w:p w14:paraId="52576D2D" w14:textId="77777777" w:rsidR="00295E46" w:rsidRDefault="00295E46" w:rsidP="00295E46">
            <w:pPr>
              <w:pStyle w:val="ListParagraph"/>
              <w:numPr>
                <w:ilvl w:val="0"/>
                <w:numId w:val="2"/>
              </w:numPr>
              <w:spacing w:after="50"/>
            </w:pPr>
            <w:r w:rsidRPr="000144E4">
              <w:rPr>
                <w:b/>
                <w:bCs/>
                <w:sz w:val="19"/>
                <w:szCs w:val="19"/>
              </w:rPr>
              <w:t>Compliance and provider risk:</w:t>
            </w:r>
            <w:r>
              <w:rPr>
                <w:sz w:val="19"/>
                <w:szCs w:val="19"/>
              </w:rPr>
              <w:t xml:space="preserve"> a flawed rule could lead to incorrect claim review outcomes or provider friction.</w:t>
            </w:r>
          </w:p>
          <w:p w14:paraId="7F044171" w14:textId="77777777" w:rsidR="00295E46" w:rsidRDefault="00295E46" w:rsidP="00295E46">
            <w:pPr>
              <w:pStyle w:val="ListParagraph"/>
              <w:numPr>
                <w:ilvl w:val="0"/>
                <w:numId w:val="2"/>
              </w:numPr>
              <w:spacing w:after="50"/>
            </w:pPr>
            <w:r w:rsidRPr="000144E4">
              <w:rPr>
                <w:b/>
                <w:bCs/>
                <w:sz w:val="19"/>
                <w:szCs w:val="19"/>
              </w:rPr>
              <w:t>Data privacy concerns:</w:t>
            </w:r>
            <w:r>
              <w:rPr>
                <w:sz w:val="19"/>
                <w:szCs w:val="19"/>
              </w:rPr>
              <w:t xml:space="preserve"> real policy and claims data require strong controls around PHI, access, and model usage.</w:t>
            </w:r>
          </w:p>
          <w:p w14:paraId="614F940B" w14:textId="77777777" w:rsidR="00295E46" w:rsidRDefault="00295E46" w:rsidP="00295E46">
            <w:pPr>
              <w:pStyle w:val="ListParagraph"/>
              <w:numPr>
                <w:ilvl w:val="0"/>
                <w:numId w:val="2"/>
              </w:numPr>
              <w:spacing w:after="50"/>
            </w:pPr>
            <w:r w:rsidRPr="000144E4">
              <w:rPr>
                <w:b/>
                <w:bCs/>
                <w:sz w:val="19"/>
                <w:szCs w:val="19"/>
              </w:rPr>
              <w:lastRenderedPageBreak/>
              <w:t>Vendor and cost dependence:</w:t>
            </w:r>
            <w:r>
              <w:rPr>
                <w:sz w:val="19"/>
                <w:szCs w:val="19"/>
              </w:rPr>
              <w:t xml:space="preserve"> third-party LLMs may create cost, reliability, and data-handling questions.</w:t>
            </w:r>
          </w:p>
          <w:p w14:paraId="1C2D201F" w14:textId="44EF5DE9" w:rsidR="00295E46" w:rsidRDefault="00295E46" w:rsidP="00295E46">
            <w:pPr>
              <w:pStyle w:val="ListParagraph"/>
              <w:numPr>
                <w:ilvl w:val="0"/>
                <w:numId w:val="2"/>
              </w:numPr>
              <w:spacing w:after="50"/>
            </w:pPr>
            <w:r w:rsidRPr="000144E4">
              <w:rPr>
                <w:b/>
                <w:bCs/>
                <w:sz w:val="19"/>
                <w:szCs w:val="19"/>
              </w:rPr>
              <w:t>Automation limits:</w:t>
            </w:r>
            <w:r w:rsidRPr="00295E46">
              <w:rPr>
                <w:b/>
                <w:bCs/>
                <w:sz w:val="19"/>
                <w:szCs w:val="19"/>
              </w:rPr>
              <w:t xml:space="preserve"> </w:t>
            </w:r>
            <w:r w:rsidRPr="00295E46">
              <w:rPr>
                <w:sz w:val="19"/>
                <w:szCs w:val="19"/>
              </w:rPr>
              <w:t>current healthcare administrative agents still struggle with reliable end-to-end task completion (Bedi et al., 2026), so human review remains necessary.</w:t>
            </w:r>
          </w:p>
        </w:tc>
      </w:tr>
    </w:tbl>
    <w:p w14:paraId="48C100A0" w14:textId="77777777" w:rsidR="0049036E" w:rsidRDefault="00000000">
      <w:pPr>
        <w:pStyle w:val="Heading2"/>
        <w:spacing w:before="200" w:after="80"/>
      </w:pPr>
      <w:r>
        <w:lastRenderedPageBreak/>
        <w:t>Strategic Options for Cotiviti</w:t>
      </w:r>
    </w:p>
    <w:p w14:paraId="193D4640" w14:textId="77777777" w:rsidR="000D2CC7" w:rsidRPr="009531BD" w:rsidRDefault="000D2CC7" w:rsidP="000D2CC7">
      <w:pPr>
        <w:spacing w:after="100"/>
        <w:rPr>
          <w:sz w:val="20"/>
          <w:szCs w:val="20"/>
        </w:rPr>
      </w:pPr>
      <w:r>
        <w:rPr>
          <w:sz w:val="20"/>
          <w:szCs w:val="20"/>
        </w:rPr>
        <w:t>Cotiviti has several practical ways to act on these trends.</w:t>
      </w:r>
    </w:p>
    <w:p w14:paraId="5EBCBC65" w14:textId="4D8A502D" w:rsidR="000D2CC7" w:rsidRPr="009531BD" w:rsidRDefault="0089709D" w:rsidP="000D2CC7">
      <w:pPr>
        <w:pStyle w:val="ListParagraph"/>
        <w:numPr>
          <w:ilvl w:val="0"/>
          <w:numId w:val="3"/>
        </w:numPr>
        <w:spacing w:after="50"/>
        <w:rPr>
          <w:sz w:val="20"/>
          <w:szCs w:val="20"/>
        </w:rPr>
      </w:pPr>
      <w:r w:rsidRPr="0089709D">
        <w:rPr>
          <w:sz w:val="20"/>
          <w:szCs w:val="20"/>
        </w:rPr>
        <w:t>Pilot a human-reviewed rule-drafting assistant. Test a bounded, human-reviewed system on one narrow policy area before any wider investment, detailed in the Recommended Solution section below.</w:t>
      </w:r>
    </w:p>
    <w:p w14:paraId="099462E9" w14:textId="77777777" w:rsidR="000D2CC7" w:rsidRPr="009531BD" w:rsidRDefault="000D2CC7" w:rsidP="000D2CC7">
      <w:pPr>
        <w:pStyle w:val="ListParagraph"/>
        <w:numPr>
          <w:ilvl w:val="0"/>
          <w:numId w:val="3"/>
        </w:numPr>
        <w:spacing w:after="50"/>
        <w:rPr>
          <w:sz w:val="20"/>
          <w:szCs w:val="20"/>
        </w:rPr>
      </w:pPr>
      <w:r>
        <w:rPr>
          <w:sz w:val="20"/>
          <w:szCs w:val="20"/>
        </w:rPr>
        <w:t>Build a standards-aligned policy and rule knowledge layer. Create structured policy templates for coverage criteria, documentation requirements, exclusions, timing limits, code relationships, and source evidence. This would help Cotiviti turn policy content into reusable rule objects that can support internal payment accuracy workflows and future API-driven payer-provider exchange.</w:t>
      </w:r>
    </w:p>
    <w:p w14:paraId="1CA32D8F" w14:textId="77777777" w:rsidR="000D2CC7" w:rsidRPr="009531BD" w:rsidRDefault="000D2CC7" w:rsidP="000D2CC7">
      <w:pPr>
        <w:pStyle w:val="ListParagraph"/>
        <w:numPr>
          <w:ilvl w:val="0"/>
          <w:numId w:val="3"/>
        </w:numPr>
        <w:spacing w:after="50"/>
        <w:rPr>
          <w:sz w:val="20"/>
          <w:szCs w:val="20"/>
        </w:rPr>
      </w:pPr>
      <w:r>
        <w:rPr>
          <w:sz w:val="20"/>
          <w:szCs w:val="20"/>
        </w:rPr>
        <w:t>Create a policy lifecycle and regression testing system. Compare old and new policy versions, flag which rules may be affected, and test updated rules against synthetic claims, expert-labeled examples, edge cases, and policy-change scenarios before release. This would help teams maintain rules safely as payer policies, coding guidance, and regulatory requirements change.</w:t>
      </w:r>
    </w:p>
    <w:p w14:paraId="3B17812B" w14:textId="77777777" w:rsidR="000D2CC7" w:rsidRDefault="000D2CC7" w:rsidP="000D2CC7">
      <w:pPr>
        <w:spacing w:after="50"/>
        <w:ind w:left="100"/>
      </w:pPr>
      <w:r>
        <w:rPr>
          <w:sz w:val="20"/>
          <w:szCs w:val="20"/>
        </w:rPr>
        <w:t>Of these, piloting the rule-drafting assistant is the recommended starting point. The approach, its research backing, and the impact it could have for Cotiviti are detailed below.</w:t>
      </w:r>
    </w:p>
    <w:p w14:paraId="24B15BEC" w14:textId="77777777" w:rsidR="0049036E" w:rsidRDefault="00000000">
      <w:pPr>
        <w:pStyle w:val="Heading2"/>
      </w:pPr>
      <w:r>
        <w:t>Recommended Solution</w:t>
      </w:r>
    </w:p>
    <w:p w14:paraId="3E454650" w14:textId="77777777" w:rsidR="000D2CC7" w:rsidRPr="00BF2957" w:rsidRDefault="000D2CC7" w:rsidP="000D2CC7">
      <w:pPr>
        <w:spacing w:after="130"/>
        <w:rPr>
          <w:sz w:val="20"/>
          <w:szCs w:val="20"/>
        </w:rPr>
      </w:pPr>
      <w:r>
        <w:rPr>
          <w:sz w:val="20"/>
          <w:szCs w:val="20"/>
        </w:rPr>
        <w:t>The recommended pilot is a Policy-to-Rule Claims Compliance Assistant. Building on Clais (Sbodio et al., 2024) and generative-model research on structured medical decision rule extraction (He et al., 2024), the assistant uses an LLM to turn policy text into structured draft rules covering indications, exclusions, documentation requirements, timing limits, and source evidence. Each draft rule is checked against a required format and routed to an expert reviewer for approval or correction. Once approved, the rule is executed through deterministic Python logic on synthetic claims data. The output is a claim result with a plain-language explanation, supporting policy evidence, and an audit record showing how the rule was created and reviewed.</w:t>
      </w:r>
    </w:p>
    <w:p w14:paraId="02A747E7" w14:textId="77777777" w:rsidR="000D2CC7" w:rsidRPr="00BF2957" w:rsidRDefault="000D2CC7" w:rsidP="000D2CC7">
      <w:pPr>
        <w:spacing w:after="130"/>
        <w:rPr>
          <w:sz w:val="20"/>
          <w:szCs w:val="20"/>
        </w:rPr>
      </w:pPr>
      <w:r>
        <w:rPr>
          <w:sz w:val="20"/>
          <w:szCs w:val="20"/>
        </w:rPr>
        <w:t>This design could fit Cotiviti as an upstream drafting and review layer for payment policy and coding workflows. Cotiviti’s Payment Policy Management solution already builds and maintains payer-specific claim rules, and its Coding Validation solution applies clinical and coding logic alongside expert review for complex coding situations (Cotiviti, n.d.-a, n.d.-b). A successful pilot would create a faster and better-documented path from policy change to claim-review logic, with less manual translation effort, stronger traceability, and a controlled way to test reviewer trust before larger investment.</w:t>
      </w:r>
    </w:p>
    <w:p w14:paraId="254C6EB2" w14:textId="77777777" w:rsidR="0049036E" w:rsidRDefault="0049036E">
      <w:pPr>
        <w:sectPr w:rsidR="0049036E">
          <w:headerReference w:type="default" r:id="rId7"/>
          <w:footerReference w:type="default" r:id="rId8"/>
          <w:pgSz w:w="12240" w:h="15840"/>
          <w:pgMar w:top="850" w:right="1440" w:bottom="850" w:left="1440" w:header="708" w:footer="708" w:gutter="0"/>
          <w:cols w:space="720"/>
          <w:docGrid w:linePitch="360"/>
        </w:sectPr>
      </w:pPr>
    </w:p>
    <w:p w14:paraId="0630C5E9" w14:textId="77777777" w:rsidR="000D2CC7" w:rsidRDefault="000D2CC7" w:rsidP="000D2CC7">
      <w:pPr>
        <w:pStyle w:val="Heading1"/>
      </w:pPr>
      <w:r>
        <w:lastRenderedPageBreak/>
        <w:t>References</w:t>
      </w:r>
    </w:p>
    <w:p w14:paraId="18252E4D" w14:textId="56A69D6F" w:rsidR="000D2CC7" w:rsidRDefault="000D2CC7" w:rsidP="000D2CC7">
      <w:pPr>
        <w:spacing w:after="160"/>
        <w:ind w:left="360" w:hanging="360"/>
      </w:pPr>
      <w:r>
        <w:rPr>
          <w:sz w:val="20"/>
          <w:szCs w:val="20"/>
        </w:rPr>
        <w:t xml:space="preserve">Bedi, S., Welch, R., Steinberg, E., Wornow, M., Kim, T. M., Ahmed, H., Sterling, P., Purohit, B., Akram, Q., Acosta, A., Nubla, E., Sharma, P., Pfeffer, M. A., Koyejo, S., &amp; Shah, N. H. (2026). HealthAdminBench: Evaluating computer-use agents on healthcare administration tasks. arXiv. </w:t>
      </w:r>
      <w:hyperlink r:id="rId9" w:history="1">
        <w:r w:rsidRPr="000D2CC7">
          <w:rPr>
            <w:rStyle w:val="Hyperlink"/>
            <w:sz w:val="20"/>
            <w:szCs w:val="20"/>
          </w:rPr>
          <w:t>https://arxiv.org/abs/2604.09937</w:t>
        </w:r>
      </w:hyperlink>
    </w:p>
    <w:p w14:paraId="656DF9BA" w14:textId="186CA0E5" w:rsidR="000D2CC7" w:rsidRDefault="000D2CC7" w:rsidP="000D2CC7">
      <w:pPr>
        <w:spacing w:after="160"/>
        <w:ind w:left="360" w:hanging="360"/>
      </w:pPr>
      <w:r>
        <w:rPr>
          <w:sz w:val="20"/>
          <w:szCs w:val="20"/>
        </w:rPr>
        <w:t xml:space="preserve">Centers for Medicare &amp; Medicaid Services. (2024). CMS interoperability and prior authorization final rule (CMS-0057-F). U.S. Department of Health and Human Services. </w:t>
      </w:r>
      <w:hyperlink r:id="rId10" w:history="1">
        <w:r w:rsidRPr="000D2CC7">
          <w:rPr>
            <w:rStyle w:val="Hyperlink"/>
            <w:sz w:val="20"/>
            <w:szCs w:val="20"/>
          </w:rPr>
          <w:t>https://www.cms.gov/newsroom/fact-sheets/cms-interoperability-prior-authorization-final-rule-cms-0057-f</w:t>
        </w:r>
      </w:hyperlink>
    </w:p>
    <w:p w14:paraId="47123F9B" w14:textId="4329412F" w:rsidR="000D2CC7" w:rsidRDefault="000D2CC7" w:rsidP="000D2CC7">
      <w:pPr>
        <w:spacing w:after="160"/>
        <w:ind w:left="360" w:hanging="360"/>
      </w:pPr>
      <w:r>
        <w:rPr>
          <w:sz w:val="20"/>
          <w:szCs w:val="20"/>
        </w:rPr>
        <w:t xml:space="preserve">Centers for Medicare &amp; Medicaid Services. (2026). Fiscal year 2025 improper payments fact sheet. U.S. Department of Health and Human Services. </w:t>
      </w:r>
      <w:hyperlink r:id="rId11" w:history="1">
        <w:r w:rsidRPr="000D2CC7">
          <w:rPr>
            <w:rStyle w:val="Hyperlink"/>
            <w:sz w:val="20"/>
            <w:szCs w:val="20"/>
          </w:rPr>
          <w:t>https://www.cms.gov/newsroom/fact-sheets/fiscal-year-2025-improper-payments-fact-sheet</w:t>
        </w:r>
      </w:hyperlink>
    </w:p>
    <w:p w14:paraId="221EF62D" w14:textId="5F238689" w:rsidR="000D2CC7" w:rsidRDefault="000D2CC7" w:rsidP="000D2CC7">
      <w:pPr>
        <w:spacing w:after="160"/>
        <w:ind w:left="360" w:hanging="360"/>
      </w:pPr>
      <w:r>
        <w:rPr>
          <w:sz w:val="20"/>
          <w:szCs w:val="20"/>
        </w:rPr>
        <w:t xml:space="preserve">Cotiviti. (n.d.-a). Coding validation. Retrieved June 28, 2026, from </w:t>
      </w:r>
      <w:hyperlink r:id="rId12" w:history="1">
        <w:r w:rsidRPr="000D2CC7">
          <w:rPr>
            <w:rStyle w:val="Hyperlink"/>
            <w:sz w:val="20"/>
            <w:szCs w:val="20"/>
          </w:rPr>
          <w:t>https://www.cotiviti.com/solutions/payment-accuracy/coding-validation</w:t>
        </w:r>
      </w:hyperlink>
    </w:p>
    <w:p w14:paraId="18D6E029" w14:textId="7653EE00" w:rsidR="000D2CC7" w:rsidRDefault="000D2CC7" w:rsidP="000D2CC7">
      <w:pPr>
        <w:spacing w:after="160"/>
        <w:ind w:left="360" w:hanging="360"/>
      </w:pPr>
      <w:r>
        <w:rPr>
          <w:sz w:val="20"/>
          <w:szCs w:val="20"/>
        </w:rPr>
        <w:t xml:space="preserve">Cotiviti. (n.d.-b). Payment policy management. Retrieved June 28, 2026, from </w:t>
      </w:r>
      <w:hyperlink r:id="rId13" w:history="1">
        <w:r w:rsidRPr="000D2CC7">
          <w:rPr>
            <w:rStyle w:val="Hyperlink"/>
            <w:sz w:val="20"/>
            <w:szCs w:val="20"/>
          </w:rPr>
          <w:t>https://www.cotiviti.com/solutions/payment-accuracy/payment-policy-management</w:t>
        </w:r>
      </w:hyperlink>
    </w:p>
    <w:p w14:paraId="06624723" w14:textId="5A6B58B9" w:rsidR="000D2CC7" w:rsidRDefault="000D2CC7" w:rsidP="000D2CC7">
      <w:pPr>
        <w:spacing w:after="160"/>
        <w:ind w:left="360" w:hanging="360"/>
      </w:pPr>
      <w:r>
        <w:rPr>
          <w:sz w:val="20"/>
          <w:szCs w:val="20"/>
        </w:rPr>
        <w:t xml:space="preserve">He, Y., Tang, B., &amp; Wang, X. (2024). Generative models for automatic medical decision rule extraction from text. In Proceedings of the 2024 Conference on Empirical Methods in Natural Language Processing (pp. 7034–7048). Association for Computational Linguistics. </w:t>
      </w:r>
      <w:hyperlink r:id="rId14" w:history="1">
        <w:r w:rsidRPr="000D2CC7">
          <w:rPr>
            <w:rStyle w:val="Hyperlink"/>
            <w:sz w:val="20"/>
            <w:szCs w:val="20"/>
          </w:rPr>
          <w:t>https://doi.org/10.18653/v1/2024.emnlp-main.399</w:t>
        </w:r>
      </w:hyperlink>
    </w:p>
    <w:p w14:paraId="034FACB6" w14:textId="3B6D63D9" w:rsidR="000D2CC7" w:rsidRDefault="000D2CC7" w:rsidP="000D2CC7">
      <w:pPr>
        <w:spacing w:after="160"/>
        <w:ind w:left="360" w:hanging="360"/>
      </w:pPr>
      <w:r>
        <w:rPr>
          <w:sz w:val="20"/>
          <w:szCs w:val="20"/>
        </w:rPr>
        <w:t xml:space="preserve">HL7 International. (2026, May 30). HL7 Da Vinci project update. </w:t>
      </w:r>
      <w:hyperlink r:id="rId15" w:history="1">
        <w:r w:rsidRPr="000D2CC7">
          <w:rPr>
            <w:rStyle w:val="Hyperlink"/>
            <w:sz w:val="20"/>
            <w:szCs w:val="20"/>
          </w:rPr>
          <w:t>https://hl7news.hl7.org/2026/05/30/hl7-da-vinci-project-update/</w:t>
        </w:r>
      </w:hyperlink>
    </w:p>
    <w:p w14:paraId="22A16EED" w14:textId="430AF4F1" w:rsidR="000D2CC7" w:rsidRDefault="000D2CC7" w:rsidP="000D2CC7">
      <w:pPr>
        <w:spacing w:after="160"/>
        <w:ind w:left="360" w:hanging="360"/>
      </w:pPr>
      <w:r>
        <w:rPr>
          <w:sz w:val="20"/>
          <w:szCs w:val="20"/>
        </w:rPr>
        <w:t xml:space="preserve">Sbodio, M. L., López, V., Hoang, T. L., Brisimi, T., Picco, G., Vejsbjerg, I., Rho, V., Mac Aonghusa, P., Kristiansen, M., &amp; Segrave-Daly, J. (2024). Collaborative artificial intelligence system for investigation of healthcare claims compliance. Scientific Reports, 14, Article 11884. </w:t>
      </w:r>
      <w:hyperlink r:id="rId16" w:history="1">
        <w:r w:rsidRPr="000D2CC7">
          <w:rPr>
            <w:rStyle w:val="Hyperlink"/>
            <w:sz w:val="20"/>
            <w:szCs w:val="20"/>
          </w:rPr>
          <w:t>https://doi.org/10.1038/s41598-024-62665-0</w:t>
        </w:r>
      </w:hyperlink>
    </w:p>
    <w:p w14:paraId="75DD9F5E" w14:textId="002AD4C2" w:rsidR="0049036E" w:rsidRDefault="0049036E">
      <w:pPr>
        <w:spacing w:after="160"/>
        <w:ind w:left="360" w:hanging="360"/>
      </w:pPr>
    </w:p>
    <w:sectPr w:rsidR="0049036E">
      <w:footerReference w:type="default" r:id="rId17"/>
      <w:pgSz w:w="12240" w:h="15840"/>
      <w:pgMar w:top="850" w:right="1440" w:bottom="85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E65F" w14:textId="77777777" w:rsidR="0043174C" w:rsidRDefault="0043174C">
      <w:r>
        <w:separator/>
      </w:r>
    </w:p>
  </w:endnote>
  <w:endnote w:type="continuationSeparator" w:id="0">
    <w:p w14:paraId="08F24D0C" w14:textId="77777777" w:rsidR="0043174C" w:rsidRDefault="0043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8D83C" w14:textId="3C0770F6" w:rsidR="0049036E" w:rsidRDefault="0049036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E78B" w14:textId="77777777" w:rsidR="0049036E" w:rsidRDefault="00000000">
    <w:pPr>
      <w:jc w:val="center"/>
    </w:pPr>
    <w:r>
      <w:rPr>
        <w:color w:val="808080"/>
        <w:sz w:val="18"/>
        <w:szCs w:val="18"/>
      </w:rPr>
      <w:t>Ishan Sharma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55EA4" w14:textId="77777777" w:rsidR="0043174C" w:rsidRDefault="0043174C">
      <w:r>
        <w:separator/>
      </w:r>
    </w:p>
  </w:footnote>
  <w:footnote w:type="continuationSeparator" w:id="0">
    <w:p w14:paraId="300EAD34" w14:textId="77777777" w:rsidR="0043174C" w:rsidRDefault="0043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FE61" w14:textId="77777777" w:rsidR="00EB51D4" w:rsidRDefault="00EB51D4" w:rsidP="000D2CC7">
    <w:pP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561CF"/>
    <w:multiLevelType w:val="multilevel"/>
    <w:tmpl w:val="13A0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06487"/>
    <w:multiLevelType w:val="hybridMultilevel"/>
    <w:tmpl w:val="BA922428"/>
    <w:lvl w:ilvl="0" w:tplc="8626DF4C">
      <w:start w:val="1"/>
      <w:numFmt w:val="bullet"/>
      <w:lvlText w:val="●"/>
      <w:lvlJc w:val="left"/>
      <w:pPr>
        <w:ind w:left="720" w:hanging="360"/>
      </w:pPr>
    </w:lvl>
    <w:lvl w:ilvl="1" w:tplc="0442A3D2">
      <w:start w:val="1"/>
      <w:numFmt w:val="bullet"/>
      <w:lvlText w:val="○"/>
      <w:lvlJc w:val="left"/>
      <w:pPr>
        <w:ind w:left="1440" w:hanging="360"/>
      </w:pPr>
    </w:lvl>
    <w:lvl w:ilvl="2" w:tplc="515A7EDC">
      <w:start w:val="1"/>
      <w:numFmt w:val="bullet"/>
      <w:lvlText w:val="■"/>
      <w:lvlJc w:val="left"/>
      <w:pPr>
        <w:ind w:left="2160" w:hanging="360"/>
      </w:pPr>
    </w:lvl>
    <w:lvl w:ilvl="3" w:tplc="4D02A7F0">
      <w:start w:val="1"/>
      <w:numFmt w:val="bullet"/>
      <w:lvlText w:val="●"/>
      <w:lvlJc w:val="left"/>
      <w:pPr>
        <w:ind w:left="2880" w:hanging="360"/>
      </w:pPr>
    </w:lvl>
    <w:lvl w:ilvl="4" w:tplc="4DF63C20">
      <w:start w:val="1"/>
      <w:numFmt w:val="bullet"/>
      <w:lvlText w:val="○"/>
      <w:lvlJc w:val="left"/>
      <w:pPr>
        <w:ind w:left="3600" w:hanging="360"/>
      </w:pPr>
    </w:lvl>
    <w:lvl w:ilvl="5" w:tplc="E884D130">
      <w:start w:val="1"/>
      <w:numFmt w:val="bullet"/>
      <w:lvlText w:val="■"/>
      <w:lvlJc w:val="left"/>
      <w:pPr>
        <w:ind w:left="4320" w:hanging="360"/>
      </w:pPr>
    </w:lvl>
    <w:lvl w:ilvl="6" w:tplc="CB1099F0">
      <w:start w:val="1"/>
      <w:numFmt w:val="bullet"/>
      <w:lvlText w:val="●"/>
      <w:lvlJc w:val="left"/>
      <w:pPr>
        <w:ind w:left="5040" w:hanging="360"/>
      </w:pPr>
    </w:lvl>
    <w:lvl w:ilvl="7" w:tplc="18388830">
      <w:start w:val="1"/>
      <w:numFmt w:val="bullet"/>
      <w:lvlText w:val="●"/>
      <w:lvlJc w:val="left"/>
      <w:pPr>
        <w:ind w:left="5760" w:hanging="360"/>
      </w:pPr>
    </w:lvl>
    <w:lvl w:ilvl="8" w:tplc="16FE5838">
      <w:start w:val="1"/>
      <w:numFmt w:val="bullet"/>
      <w:lvlText w:val="●"/>
      <w:lvlJc w:val="left"/>
      <w:pPr>
        <w:ind w:left="6480" w:hanging="360"/>
      </w:pPr>
    </w:lvl>
  </w:abstractNum>
  <w:abstractNum w:abstractNumId="2" w15:restartNumberingAfterBreak="0">
    <w:nsid w:val="39CC13B2"/>
    <w:multiLevelType w:val="hybridMultilevel"/>
    <w:tmpl w:val="70B43C22"/>
    <w:lvl w:ilvl="0" w:tplc="670A79EA">
      <w:start w:val="1"/>
      <w:numFmt w:val="decimal"/>
      <w:lvlText w:val="%1."/>
      <w:lvlJc w:val="left"/>
      <w:pPr>
        <w:ind w:left="460" w:hanging="360"/>
      </w:pPr>
    </w:lvl>
    <w:lvl w:ilvl="1" w:tplc="830A7F08">
      <w:numFmt w:val="decimal"/>
      <w:lvlText w:val=""/>
      <w:lvlJc w:val="left"/>
    </w:lvl>
    <w:lvl w:ilvl="2" w:tplc="E5C08D9A">
      <w:numFmt w:val="decimal"/>
      <w:lvlText w:val=""/>
      <w:lvlJc w:val="left"/>
    </w:lvl>
    <w:lvl w:ilvl="3" w:tplc="B712B760">
      <w:numFmt w:val="decimal"/>
      <w:lvlText w:val=""/>
      <w:lvlJc w:val="left"/>
    </w:lvl>
    <w:lvl w:ilvl="4" w:tplc="535EC72C">
      <w:numFmt w:val="decimal"/>
      <w:lvlText w:val=""/>
      <w:lvlJc w:val="left"/>
    </w:lvl>
    <w:lvl w:ilvl="5" w:tplc="78E67AA6">
      <w:numFmt w:val="decimal"/>
      <w:lvlText w:val=""/>
      <w:lvlJc w:val="left"/>
    </w:lvl>
    <w:lvl w:ilvl="6" w:tplc="A6DCE7EE">
      <w:numFmt w:val="decimal"/>
      <w:lvlText w:val=""/>
      <w:lvlJc w:val="left"/>
    </w:lvl>
    <w:lvl w:ilvl="7" w:tplc="3182914A">
      <w:numFmt w:val="decimal"/>
      <w:lvlText w:val=""/>
      <w:lvlJc w:val="left"/>
    </w:lvl>
    <w:lvl w:ilvl="8" w:tplc="5406CE0E">
      <w:numFmt w:val="decimal"/>
      <w:lvlText w:val=""/>
      <w:lvlJc w:val="left"/>
    </w:lvl>
  </w:abstractNum>
  <w:abstractNum w:abstractNumId="3" w15:restartNumberingAfterBreak="0">
    <w:nsid w:val="7D3F3143"/>
    <w:multiLevelType w:val="hybridMultilevel"/>
    <w:tmpl w:val="4B2644D2"/>
    <w:lvl w:ilvl="0" w:tplc="99E08E9E">
      <w:start w:val="1"/>
      <w:numFmt w:val="bullet"/>
      <w:lvlText w:val="•"/>
      <w:lvlJc w:val="left"/>
      <w:pPr>
        <w:ind w:left="260" w:hanging="220"/>
      </w:pPr>
    </w:lvl>
    <w:lvl w:ilvl="1" w:tplc="B0702D3C">
      <w:numFmt w:val="decimal"/>
      <w:lvlText w:val=""/>
      <w:lvlJc w:val="left"/>
    </w:lvl>
    <w:lvl w:ilvl="2" w:tplc="DA4C47B0">
      <w:numFmt w:val="decimal"/>
      <w:lvlText w:val=""/>
      <w:lvlJc w:val="left"/>
    </w:lvl>
    <w:lvl w:ilvl="3" w:tplc="B85C33E0">
      <w:numFmt w:val="decimal"/>
      <w:lvlText w:val=""/>
      <w:lvlJc w:val="left"/>
    </w:lvl>
    <w:lvl w:ilvl="4" w:tplc="7B68B360">
      <w:numFmt w:val="decimal"/>
      <w:lvlText w:val=""/>
      <w:lvlJc w:val="left"/>
    </w:lvl>
    <w:lvl w:ilvl="5" w:tplc="0AD60970">
      <w:numFmt w:val="decimal"/>
      <w:lvlText w:val=""/>
      <w:lvlJc w:val="left"/>
    </w:lvl>
    <w:lvl w:ilvl="6" w:tplc="7C6A7450">
      <w:numFmt w:val="decimal"/>
      <w:lvlText w:val=""/>
      <w:lvlJc w:val="left"/>
    </w:lvl>
    <w:lvl w:ilvl="7" w:tplc="81CC127E">
      <w:numFmt w:val="decimal"/>
      <w:lvlText w:val=""/>
      <w:lvlJc w:val="left"/>
    </w:lvl>
    <w:lvl w:ilvl="8" w:tplc="E6C46D60">
      <w:numFmt w:val="decimal"/>
      <w:lvlText w:val=""/>
      <w:lvlJc w:val="left"/>
    </w:lvl>
  </w:abstractNum>
  <w:num w:numId="1" w16cid:durableId="537930528">
    <w:abstractNumId w:val="1"/>
    <w:lvlOverride w:ilvl="0">
      <w:startOverride w:val="1"/>
    </w:lvlOverride>
  </w:num>
  <w:num w:numId="2" w16cid:durableId="279535668">
    <w:abstractNumId w:val="3"/>
    <w:lvlOverride w:ilvl="0">
      <w:startOverride w:val="1"/>
    </w:lvlOverride>
  </w:num>
  <w:num w:numId="3" w16cid:durableId="406728652">
    <w:abstractNumId w:val="2"/>
    <w:lvlOverride w:ilvl="0">
      <w:startOverride w:val="1"/>
    </w:lvlOverride>
  </w:num>
  <w:num w:numId="4" w16cid:durableId="69450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36E"/>
    <w:rsid w:val="000144E4"/>
    <w:rsid w:val="000B7830"/>
    <w:rsid w:val="000D2CC7"/>
    <w:rsid w:val="001D53FA"/>
    <w:rsid w:val="00295E46"/>
    <w:rsid w:val="002A4226"/>
    <w:rsid w:val="002A5F62"/>
    <w:rsid w:val="0043174C"/>
    <w:rsid w:val="0049036E"/>
    <w:rsid w:val="00510047"/>
    <w:rsid w:val="006011C6"/>
    <w:rsid w:val="00834CE3"/>
    <w:rsid w:val="0089709D"/>
    <w:rsid w:val="008C73FD"/>
    <w:rsid w:val="009531BD"/>
    <w:rsid w:val="00BF2957"/>
    <w:rsid w:val="00CF1270"/>
    <w:rsid w:val="00E964AE"/>
    <w:rsid w:val="00EB5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4B6C"/>
  <w15:docId w15:val="{61836B5F-92E7-4589-B096-2BCA10F7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after="200"/>
      <w:outlineLvl w:val="0"/>
    </w:pPr>
    <w:rPr>
      <w:b/>
      <w:bCs/>
      <w:color w:val="1F3864"/>
      <w:sz w:val="32"/>
      <w:szCs w:val="32"/>
    </w:rPr>
  </w:style>
  <w:style w:type="paragraph" w:styleId="Heading2">
    <w:name w:val="heading 2"/>
    <w:uiPriority w:val="9"/>
    <w:unhideWhenUsed/>
    <w:qFormat/>
    <w:pPr>
      <w:spacing w:before="160" w:after="7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4E4"/>
    <w:pPr>
      <w:tabs>
        <w:tab w:val="center" w:pos="4680"/>
        <w:tab w:val="right" w:pos="9360"/>
      </w:tabs>
    </w:pPr>
  </w:style>
  <w:style w:type="character" w:customStyle="1" w:styleId="HeaderChar">
    <w:name w:val="Header Char"/>
    <w:basedOn w:val="DefaultParagraphFont"/>
    <w:link w:val="Header"/>
    <w:uiPriority w:val="99"/>
    <w:rsid w:val="000144E4"/>
  </w:style>
  <w:style w:type="paragraph" w:styleId="Footer">
    <w:name w:val="footer"/>
    <w:basedOn w:val="Normal"/>
    <w:link w:val="FooterChar"/>
    <w:uiPriority w:val="99"/>
    <w:unhideWhenUsed/>
    <w:rsid w:val="000144E4"/>
    <w:pPr>
      <w:tabs>
        <w:tab w:val="center" w:pos="4680"/>
        <w:tab w:val="right" w:pos="9360"/>
      </w:tabs>
    </w:pPr>
  </w:style>
  <w:style w:type="character" w:customStyle="1" w:styleId="FooterChar">
    <w:name w:val="Footer Char"/>
    <w:basedOn w:val="DefaultParagraphFont"/>
    <w:link w:val="Footer"/>
    <w:uiPriority w:val="99"/>
    <w:rsid w:val="000144E4"/>
  </w:style>
  <w:style w:type="table" w:styleId="TableGrid">
    <w:name w:val="Table Grid"/>
    <w:basedOn w:val="TableNormal"/>
    <w:uiPriority w:val="39"/>
    <w:rsid w:val="00295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D2CC7"/>
    <w:rPr>
      <w:b/>
      <w:bCs/>
      <w:color w:val="1F3864"/>
      <w:sz w:val="32"/>
      <w:szCs w:val="32"/>
    </w:rPr>
  </w:style>
  <w:style w:type="character" w:styleId="UnresolvedMention">
    <w:name w:val="Unresolved Mention"/>
    <w:basedOn w:val="DefaultParagraphFont"/>
    <w:uiPriority w:val="99"/>
    <w:semiHidden/>
    <w:unhideWhenUsed/>
    <w:rsid w:val="000D2CC7"/>
    <w:rPr>
      <w:color w:val="605E5C"/>
      <w:shd w:val="clear" w:color="auto" w:fill="E1DFDD"/>
    </w:rPr>
  </w:style>
  <w:style w:type="character" w:styleId="FollowedHyperlink">
    <w:name w:val="FollowedHyperlink"/>
    <w:basedOn w:val="DefaultParagraphFont"/>
    <w:uiPriority w:val="99"/>
    <w:semiHidden/>
    <w:unhideWhenUsed/>
    <w:rsid w:val="000D2C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1586">
      <w:bodyDiv w:val="1"/>
      <w:marLeft w:val="0"/>
      <w:marRight w:val="0"/>
      <w:marTop w:val="0"/>
      <w:marBottom w:val="0"/>
      <w:divBdr>
        <w:top w:val="none" w:sz="0" w:space="0" w:color="auto"/>
        <w:left w:val="none" w:sz="0" w:space="0" w:color="auto"/>
        <w:bottom w:val="none" w:sz="0" w:space="0" w:color="auto"/>
        <w:right w:val="none" w:sz="0" w:space="0" w:color="auto"/>
      </w:divBdr>
    </w:div>
    <w:div w:id="602110600">
      <w:bodyDiv w:val="1"/>
      <w:marLeft w:val="0"/>
      <w:marRight w:val="0"/>
      <w:marTop w:val="0"/>
      <w:marBottom w:val="0"/>
      <w:divBdr>
        <w:top w:val="none" w:sz="0" w:space="0" w:color="auto"/>
        <w:left w:val="none" w:sz="0" w:space="0" w:color="auto"/>
        <w:bottom w:val="none" w:sz="0" w:space="0" w:color="auto"/>
        <w:right w:val="none" w:sz="0" w:space="0" w:color="auto"/>
      </w:divBdr>
    </w:div>
    <w:div w:id="855466507">
      <w:bodyDiv w:val="1"/>
      <w:marLeft w:val="0"/>
      <w:marRight w:val="0"/>
      <w:marTop w:val="0"/>
      <w:marBottom w:val="0"/>
      <w:divBdr>
        <w:top w:val="none" w:sz="0" w:space="0" w:color="auto"/>
        <w:left w:val="none" w:sz="0" w:space="0" w:color="auto"/>
        <w:bottom w:val="none" w:sz="0" w:space="0" w:color="auto"/>
        <w:right w:val="none" w:sz="0" w:space="0" w:color="auto"/>
      </w:divBdr>
    </w:div>
    <w:div w:id="900866452">
      <w:bodyDiv w:val="1"/>
      <w:marLeft w:val="0"/>
      <w:marRight w:val="0"/>
      <w:marTop w:val="0"/>
      <w:marBottom w:val="0"/>
      <w:divBdr>
        <w:top w:val="none" w:sz="0" w:space="0" w:color="auto"/>
        <w:left w:val="none" w:sz="0" w:space="0" w:color="auto"/>
        <w:bottom w:val="none" w:sz="0" w:space="0" w:color="auto"/>
        <w:right w:val="none" w:sz="0" w:space="0" w:color="auto"/>
      </w:divBdr>
    </w:div>
    <w:div w:id="930624676">
      <w:bodyDiv w:val="1"/>
      <w:marLeft w:val="0"/>
      <w:marRight w:val="0"/>
      <w:marTop w:val="0"/>
      <w:marBottom w:val="0"/>
      <w:divBdr>
        <w:top w:val="none" w:sz="0" w:space="0" w:color="auto"/>
        <w:left w:val="none" w:sz="0" w:space="0" w:color="auto"/>
        <w:bottom w:val="none" w:sz="0" w:space="0" w:color="auto"/>
        <w:right w:val="none" w:sz="0" w:space="0" w:color="auto"/>
      </w:divBdr>
    </w:div>
    <w:div w:id="1232617216">
      <w:bodyDiv w:val="1"/>
      <w:marLeft w:val="0"/>
      <w:marRight w:val="0"/>
      <w:marTop w:val="0"/>
      <w:marBottom w:val="0"/>
      <w:divBdr>
        <w:top w:val="none" w:sz="0" w:space="0" w:color="auto"/>
        <w:left w:val="none" w:sz="0" w:space="0" w:color="auto"/>
        <w:bottom w:val="none" w:sz="0" w:space="0" w:color="auto"/>
        <w:right w:val="none" w:sz="0" w:space="0" w:color="auto"/>
      </w:divBdr>
      <w:divsChild>
        <w:div w:id="1989239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770956">
      <w:bodyDiv w:val="1"/>
      <w:marLeft w:val="0"/>
      <w:marRight w:val="0"/>
      <w:marTop w:val="0"/>
      <w:marBottom w:val="0"/>
      <w:divBdr>
        <w:top w:val="none" w:sz="0" w:space="0" w:color="auto"/>
        <w:left w:val="none" w:sz="0" w:space="0" w:color="auto"/>
        <w:bottom w:val="none" w:sz="0" w:space="0" w:color="auto"/>
        <w:right w:val="none" w:sz="0" w:space="0" w:color="auto"/>
      </w:divBdr>
    </w:div>
    <w:div w:id="1322586241">
      <w:bodyDiv w:val="1"/>
      <w:marLeft w:val="0"/>
      <w:marRight w:val="0"/>
      <w:marTop w:val="0"/>
      <w:marBottom w:val="0"/>
      <w:divBdr>
        <w:top w:val="none" w:sz="0" w:space="0" w:color="auto"/>
        <w:left w:val="none" w:sz="0" w:space="0" w:color="auto"/>
        <w:bottom w:val="none" w:sz="0" w:space="0" w:color="auto"/>
        <w:right w:val="none" w:sz="0" w:space="0" w:color="auto"/>
      </w:divBdr>
      <w:divsChild>
        <w:div w:id="854417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9427585">
      <w:bodyDiv w:val="1"/>
      <w:marLeft w:val="0"/>
      <w:marRight w:val="0"/>
      <w:marTop w:val="0"/>
      <w:marBottom w:val="0"/>
      <w:divBdr>
        <w:top w:val="none" w:sz="0" w:space="0" w:color="auto"/>
        <w:left w:val="none" w:sz="0" w:space="0" w:color="auto"/>
        <w:bottom w:val="none" w:sz="0" w:space="0" w:color="auto"/>
        <w:right w:val="none" w:sz="0" w:space="0" w:color="auto"/>
      </w:divBdr>
    </w:div>
    <w:div w:id="1579906171">
      <w:bodyDiv w:val="1"/>
      <w:marLeft w:val="0"/>
      <w:marRight w:val="0"/>
      <w:marTop w:val="0"/>
      <w:marBottom w:val="0"/>
      <w:divBdr>
        <w:top w:val="none" w:sz="0" w:space="0" w:color="auto"/>
        <w:left w:val="none" w:sz="0" w:space="0" w:color="auto"/>
        <w:bottom w:val="none" w:sz="0" w:space="0" w:color="auto"/>
        <w:right w:val="none" w:sz="0" w:space="0" w:color="auto"/>
      </w:divBdr>
    </w:div>
    <w:div w:id="1602028866">
      <w:bodyDiv w:val="1"/>
      <w:marLeft w:val="0"/>
      <w:marRight w:val="0"/>
      <w:marTop w:val="0"/>
      <w:marBottom w:val="0"/>
      <w:divBdr>
        <w:top w:val="none" w:sz="0" w:space="0" w:color="auto"/>
        <w:left w:val="none" w:sz="0" w:space="0" w:color="auto"/>
        <w:bottom w:val="none" w:sz="0" w:space="0" w:color="auto"/>
        <w:right w:val="none" w:sz="0" w:space="0" w:color="auto"/>
      </w:divBdr>
      <w:divsChild>
        <w:div w:id="2083091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368861">
      <w:bodyDiv w:val="1"/>
      <w:marLeft w:val="0"/>
      <w:marRight w:val="0"/>
      <w:marTop w:val="0"/>
      <w:marBottom w:val="0"/>
      <w:divBdr>
        <w:top w:val="none" w:sz="0" w:space="0" w:color="auto"/>
        <w:left w:val="none" w:sz="0" w:space="0" w:color="auto"/>
        <w:bottom w:val="none" w:sz="0" w:space="0" w:color="auto"/>
        <w:right w:val="none" w:sz="0" w:space="0" w:color="auto"/>
      </w:divBdr>
    </w:div>
    <w:div w:id="1977876660">
      <w:bodyDiv w:val="1"/>
      <w:marLeft w:val="0"/>
      <w:marRight w:val="0"/>
      <w:marTop w:val="0"/>
      <w:marBottom w:val="0"/>
      <w:divBdr>
        <w:top w:val="none" w:sz="0" w:space="0" w:color="auto"/>
        <w:left w:val="none" w:sz="0" w:space="0" w:color="auto"/>
        <w:bottom w:val="none" w:sz="0" w:space="0" w:color="auto"/>
        <w:right w:val="none" w:sz="0" w:space="0" w:color="auto"/>
      </w:divBdr>
    </w:div>
    <w:div w:id="1998265753">
      <w:bodyDiv w:val="1"/>
      <w:marLeft w:val="0"/>
      <w:marRight w:val="0"/>
      <w:marTop w:val="0"/>
      <w:marBottom w:val="0"/>
      <w:divBdr>
        <w:top w:val="none" w:sz="0" w:space="0" w:color="auto"/>
        <w:left w:val="none" w:sz="0" w:space="0" w:color="auto"/>
        <w:bottom w:val="none" w:sz="0" w:space="0" w:color="auto"/>
        <w:right w:val="none" w:sz="0" w:space="0" w:color="auto"/>
      </w:divBdr>
      <w:divsChild>
        <w:div w:id="1273785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4188">
      <w:bodyDiv w:val="1"/>
      <w:marLeft w:val="0"/>
      <w:marRight w:val="0"/>
      <w:marTop w:val="0"/>
      <w:marBottom w:val="0"/>
      <w:divBdr>
        <w:top w:val="none" w:sz="0" w:space="0" w:color="auto"/>
        <w:left w:val="none" w:sz="0" w:space="0" w:color="auto"/>
        <w:bottom w:val="none" w:sz="0" w:space="0" w:color="auto"/>
        <w:right w:val="none" w:sz="0" w:space="0" w:color="auto"/>
      </w:divBdr>
    </w:div>
    <w:div w:id="2122214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otiviti.com/solutions/payment-accuracy/payment-policy-managemen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cotiviti.com/solutions/payment-accuracy/coding-validation"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038/s41598-024-62665-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ms.gov/newsroom/fact-sheets/fiscal-year-2025-improper-payments-fact-sheet" TargetMode="External"/><Relationship Id="rId5" Type="http://schemas.openxmlformats.org/officeDocument/2006/relationships/footnotes" Target="footnotes.xml"/><Relationship Id="rId15" Type="http://schemas.openxmlformats.org/officeDocument/2006/relationships/hyperlink" Target="https://hl7news.hl7.org/2026/05/30/hl7-da-vinci-project-update/" TargetMode="External"/><Relationship Id="rId10" Type="http://schemas.openxmlformats.org/officeDocument/2006/relationships/hyperlink" Target="https://www.cms.gov/newsroom/fact-sheets/cms-interoperability-prior-authorization-final-rule-cms-0057-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604.09937" TargetMode="External"/><Relationship Id="rId14" Type="http://schemas.openxmlformats.org/officeDocument/2006/relationships/hyperlink" Target="https://doi.org/10.18653/v1/2024.emnlp-main.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Sharma</cp:lastModifiedBy>
  <cp:revision>6</cp:revision>
  <dcterms:created xsi:type="dcterms:W3CDTF">2026-06-29T17:33:00Z</dcterms:created>
  <dcterms:modified xsi:type="dcterms:W3CDTF">2026-06-29T22:19:00Z</dcterms:modified>
</cp:coreProperties>
</file>