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pBdr>
          <w:bottom w:val="single" w:color="2E75B6" w:sz="12" w:space="2"/>
        </w:pBdr>
        <w:spacing w:after="200" w:before="0"/>
        <w:jc w:val="center"/>
      </w:pPr>
      <w:r>
        <w:rPr>
          <w:rFonts w:ascii="Arial" w:cs="Arial" w:eastAsia="Arial" w:hAnsi="Arial"/>
          <w:b/>
          <w:bCs/>
          <w:color w:val="1F4E79"/>
          <w:sz w:val="48"/>
          <w:szCs w:val="48"/>
        </w:rPr>
        <w:t xml:space="preserve">Union Budget 2026 – IS-LM Evaluation of India's Growth Strategy</w:t>
      </w:r>
    </w:p>
    <w:p>
      <w:pPr>
        <w:spacing w:after="80" w:before="160"/>
        <w:jc w:val="center"/>
      </w:pPr>
      <w:r>
        <w:rPr>
          <w:color w:val="2E75B6"/>
          <w:sz w:val="28"/>
          <w:szCs w:val="28"/>
        </w:rPr>
        <w:t xml:space="preserve">A Macroeconomic Policy Analysis</w:t>
      </w:r>
    </w:p>
    <w:p>
      <w:pPr>
        <w:spacing w:after="0" w:before="0"/>
      </w:pPr>
      <w:r>
        <w:t xml:space="preserve"/>
      </w:r>
    </w:p>
    <w:p>
      <w:pPr>
        <w:spacing w:after="0" w:before="0"/>
      </w:pPr>
      <w:r>
        <w:t xml:space="preserve"/>
      </w:r>
    </w:p>
    <w:p>
      <w:pPr>
        <w:spacing w:after="60" w:before="60"/>
        <w:jc w:val="center"/>
      </w:pPr>
      <w:r>
        <w:rPr>
          <w:b/>
          <w:bCs/>
          <w:color w:val="333333"/>
          <w:sz w:val="24"/>
          <w:szCs w:val="24"/>
        </w:rPr>
        <w:t xml:space="preserve">Ishan Sharma  |  2024EEB1206</w:t>
      </w:r>
    </w:p>
    <w:p>
      <w:pPr>
        <w:spacing w:after="40" w:before="40"/>
        <w:jc w:val="center"/>
      </w:pPr>
      <w:r>
        <w:rPr>
          <w:color w:val="555555"/>
          <w:sz w:val="22"/>
          <w:szCs w:val="22"/>
        </w:rPr>
        <w:t xml:space="preserve">Department of Electrical Engineering</w:t>
      </w:r>
    </w:p>
    <w:p>
      <w:pPr>
        <w:spacing w:after="200" w:before="40"/>
        <w:jc w:val="center"/>
      </w:pPr>
      <w:r>
        <w:rPr>
          <w:color w:val="555555"/>
          <w:sz w:val="22"/>
          <w:szCs w:val="22"/>
        </w:rPr>
        <w:t xml:space="preserve">IIT Ropar  |  June 2026</w:t>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2"/>
              <w:left w:val="single" w:color="1F4E79" w:sz="30"/>
              <w:bottom w:val="single" w:color="2E75B6" w:sz="12"/>
              <w:right w:val="single" w:color="B8CCE4" w:sz="1"/>
            </w:tcBorders>
            <w:shd w:fill="DEEAF1" w:val="clear"/>
            <w:tcMar>
              <w:top w:type="dxa" w:w="160"/>
              <w:left w:type="dxa" w:w="200"/>
              <w:bottom w:type="dxa" w:w="160"/>
              <w:right w:type="dxa" w:w="200"/>
            </w:tcMar>
          </w:tcPr>
          <w:p>
            <w:pPr>
              <w:spacing w:after="80" w:before="0"/>
              <w:jc w:val="center"/>
            </w:pPr>
            <w:r>
              <w:rPr>
                <w:b/>
                <w:bCs/>
                <w:caps/>
                <w:color w:val="1F4E79"/>
                <w:sz w:val="22"/>
                <w:szCs w:val="22"/>
              </w:rPr>
              <w:t xml:space="preserve">ABSTRACT</w:t>
            </w:r>
          </w:p>
          <w:p>
            <w:pPr>
              <w:spacing w:after="0" w:before="0" w:line="276"/>
              <w:jc w:val="both"/>
            </w:pPr>
            <w:r>
              <w:rPr>
                <w:color w:val="222222"/>
                <w:sz w:val="20"/>
                <w:szCs w:val="20"/>
              </w:rPr>
              <w:t xml:space="preserve">India's Union Budget 2026–27 was presented amid diverging macroeconomic signals — a robust FY26 GDP outturn of 7.4%, a cumulative 125 basis point easing cycle by the RBI in FY26, and new headwinds from the West Asia conflict that have pushed crude oil above $100 per barrel. This report applies the IS-LM framework to evaluate the fiscal and monetary policy mix embedded in Budget 2026–27. The analysis demonstrates that the rightward IS shift from capital expenditure of ₹12.2 lakh crore and income tax relief up to ₹12.75 lakh, combined with the lagged effects of RBI's accumulated rate cuts, jointly raise equilibrium output. However, the current monetary pause at 5.25% and the neutral stance introduce important nuance: the LM shift is lagged rather than concurrent. The report concludes that the policy mix is calibrated for medium-term structural growth but faces short-term risks from inflationary supply shocks.</w:t>
            </w:r>
          </w:p>
        </w:tc>
      </w:tr>
    </w:tbl>
    <w:p>
      <w:r>
        <w:br w:type="page"/>
      </w:r>
    </w:p>
    <w:p>
      <w:pPr>
        <w:pBdr>
          <w:bottom w:val="single" w:color="2E75B6" w:sz="8" w:space="2"/>
        </w:pBdr>
        <w:spacing w:after="100" w:before="280"/>
      </w:pPr>
      <w:r>
        <w:rPr>
          <w:b/>
          <w:bCs/>
          <w:caps/>
          <w:color w:val="1F4E79"/>
          <w:sz w:val="26"/>
          <w:szCs w:val="26"/>
        </w:rPr>
        <w:t xml:space="preserve">1. PROBLEM STATEMENT</w:t>
      </w:r>
    </w:p>
    <w:p>
      <w:pPr>
        <w:spacing w:after="120" w:before="80" w:line="276"/>
        <w:jc w:val="both"/>
      </w:pPr>
      <w:r>
        <w:rPr>
          <w:b w:val="false"/>
          <w:bCs w:val="false"/>
          <w:color w:val="000000"/>
          <w:sz w:val="22"/>
          <w:szCs w:val="22"/>
        </w:rPr>
        <w:t xml:space="preserve">India enters FY2026–27 with a complex macroeconomic inheritance. On the positive side, GDP growth in FY2025–26 came in at 7.4% under the new series — materially above the revised downward estimates that had clouded FY25. Consumer inflation fell sharply to a historic low of 2.1% in FY26, enabling the Reserve Bank of India (RBI) to cut the repo rate by a cumulative 125 basis points across FY26, from 6.5% to 5.25%.</w:t>
      </w:r>
    </w:p>
    <w:p>
      <w:pPr>
        <w:spacing w:after="120" w:before="80" w:line="276"/>
        <w:jc w:val="both"/>
      </w:pPr>
      <w:r>
        <w:rPr>
          <w:b w:val="false"/>
          <w:bCs w:val="false"/>
          <w:color w:val="000000"/>
          <w:sz w:val="22"/>
          <w:szCs w:val="22"/>
        </w:rPr>
        <w:t xml:space="preserve">Yet by April 2026, the macroeconomic landscape had shifted again. The escalation of the West Asia conflict pushed crude oil above $100 per barrel, threatening to reverse the disinflation that enabled the easing cycle. The RBI paused rate cuts at 5.25% in both the February and April 2026 meetings, signalling caution. GDP growth for FY2026–27 is now projected at 6.9%, revised down from 7.4%, with risks skewed to the downside.</w:t>
      </w:r>
    </w:p>
    <w:p>
      <w:pPr>
        <w:spacing w:after="120" w:before="80" w:line="276"/>
        <w:jc w:val="both"/>
      </w:pPr>
      <w:r>
        <w:rPr>
          <w:b w:val="false"/>
          <w:bCs w:val="false"/>
          <w:color w:val="000000"/>
          <w:sz w:val="22"/>
          <w:szCs w:val="22"/>
        </w:rPr>
        <w:t xml:space="preserve">Against this backdrop, Finance Minister Nirmala Sitharaman presented Union Budget 2026–27 on 1 February 2026 — an expansionary fiscal stance anchored by ₹12.2 lakh crore in capital expenditure, income tax relief for individuals earning up to ₹12.75 lakh, and targeted sectoral initiatives in semiconductors, biopharma, MSMEs, and infrastructure. The challenge for policymakers is to sustain the growth momentum while managing a nascent inflationary supply shock without fiscal excess.</w:t>
      </w:r>
    </w:p>
    <w:p>
      <w:pPr>
        <w:spacing w:after="120" w:before="80" w:line="276"/>
        <w:jc w:val="both"/>
      </w:pPr>
      <w:r>
        <w:rPr>
          <w:b w:val="false"/>
          <w:bCs w:val="false"/>
          <w:color w:val="000000"/>
          <w:sz w:val="22"/>
          <w:szCs w:val="22"/>
        </w:rPr>
        <w:t xml:space="preserve">This report uses the IS-LM analytical framework to evaluate these policy dynamics, understand their interaction, and assess the likely equilibrium outcome for output and interest rates in FY2026–27.</w:t>
      </w:r>
    </w:p>
    <w:p>
      <w:pPr>
        <w:pBdr>
          <w:bottom w:val="single" w:color="2E75B6" w:sz="8" w:space="2"/>
        </w:pBdr>
        <w:spacing w:after="100" w:before="280"/>
      </w:pPr>
      <w:r>
        <w:rPr>
          <w:b/>
          <w:bCs/>
          <w:caps/>
          <w:color w:val="1F4E79"/>
          <w:sz w:val="26"/>
          <w:szCs w:val="26"/>
        </w:rPr>
        <w:t xml:space="preserve">2. IS-LM FRAMEWORK OVERVIEW</w:t>
      </w:r>
    </w:p>
    <w:p>
      <w:pPr>
        <w:spacing w:after="120" w:before="80" w:line="276"/>
        <w:jc w:val="both"/>
      </w:pPr>
      <w:r>
        <w:rPr>
          <w:b w:val="false"/>
          <w:bCs w:val="false"/>
          <w:color w:val="000000"/>
          <w:sz w:val="22"/>
          <w:szCs w:val="22"/>
        </w:rPr>
        <w:t xml:space="preserve">The IS-LM model, developed by John Hicks and Alvin Hansen, provides a compact representation of simultaneous equilibrium in the goods market (IS curve) and the money market (LM curve). The intersection of these two curves determines the economy's short-run equilibrium level of output (Y) and the interest rate (i).</w:t>
      </w:r>
    </w:p>
    <w:p>
      <w:pPr>
        <w:pStyle w:val="Heading2"/>
      </w:pPr>
      <w:r>
        <w:rPr>
          <w:b/>
          <w:bCs/>
          <w:color w:val="2E75B6"/>
        </w:rPr>
        <w:t xml:space="preserve">2.1  The IS Curve (Investment–Savings)</w:t>
      </w:r>
    </w:p>
    <w:p>
      <w:pPr>
        <w:spacing w:after="120" w:before="80" w:line="276"/>
        <w:jc w:val="both"/>
      </w:pPr>
      <w:r>
        <w:rPr>
          <w:b w:val="false"/>
          <w:bCs w:val="false"/>
          <w:color w:val="000000"/>
          <w:sz w:val="22"/>
          <w:szCs w:val="22"/>
        </w:rPr>
        <w:t xml:space="preserve">The IS curve represents all combinations of output and interest rates at which the goods market is in equilibrium — i.e., aggregate demand equals aggregate output. It slopes downward because lower interest rates stimulate investment spending and therefore demand.</w:t>
      </w:r>
    </w:p>
    <w:p>
      <w:pPr>
        <w:spacing w:after="120" w:before="80" w:line="276"/>
        <w:jc w:val="both"/>
      </w:pPr>
      <w:r>
        <w:rPr>
          <w:b w:val="false"/>
          <w:bCs w:val="false"/>
          <w:color w:val="000000"/>
          <w:sz w:val="22"/>
          <w:szCs w:val="22"/>
        </w:rPr>
        <w:t xml:space="preserve">IS shifts rightward when: government spending increases, taxes are cut (raising disposable income and consumption), or autonomous investment rises. IS shifts leftward when the government withdraws fiscal stimulus or private sentiment deteriorates.</w:t>
      </w:r>
    </w:p>
    <w:p>
      <w:pPr>
        <w:pStyle w:val="Heading2"/>
      </w:pPr>
      <w:r>
        <w:rPr>
          <w:b/>
          <w:bCs/>
          <w:color w:val="2E75B6"/>
        </w:rPr>
        <w:t xml:space="preserve">2.2  The LM Curve (Liquidity Preference–Money Supply)</w:t>
      </w:r>
    </w:p>
    <w:p>
      <w:pPr>
        <w:spacing w:after="120" w:before="80" w:line="276"/>
        <w:jc w:val="both"/>
      </w:pPr>
      <w:r>
        <w:rPr>
          <w:b w:val="false"/>
          <w:bCs w:val="false"/>
          <w:color w:val="000000"/>
          <w:sz w:val="22"/>
          <w:szCs w:val="22"/>
        </w:rPr>
        <w:t xml:space="preserve">The LM curve represents all combinations of output and interest rates at which the money market is in equilibrium — i.e., money demand equals money supply. It slopes upward because higher output raises money demand, requiring a higher interest rate to restore equilibrium given a fixed money supply.</w:t>
      </w:r>
    </w:p>
    <w:p>
      <w:pPr>
        <w:spacing w:after="120" w:before="80" w:line="276"/>
        <w:jc w:val="both"/>
      </w:pPr>
      <w:r>
        <w:rPr>
          <w:b w:val="false"/>
          <w:bCs w:val="false"/>
          <w:color w:val="000000"/>
          <w:sz w:val="22"/>
          <w:szCs w:val="22"/>
        </w:rPr>
        <w:t xml:space="preserve">LM shifts rightward when the central bank expands money supply (cuts repo rate, injects liquidity via OMOs, CRR cuts), reducing the interest rate at every level of output. LM shifts leftward when the central bank tightens policy.</w:t>
      </w:r>
    </w:p>
    <w:p>
      <w:pPr>
        <w:pStyle w:val="Heading2"/>
      </w:pPr>
      <w:r>
        <w:rPr>
          <w:b/>
          <w:bCs/>
          <w:color w:val="2E75B6"/>
        </w:rPr>
        <w:t xml:space="preserve">2.3  Equilibrium and Policy Shifts</w:t>
      </w:r>
    </w:p>
    <w:p>
      <w:pPr>
        <w:spacing w:after="120" w:before="80" w:line="276"/>
        <w:jc w:val="both"/>
      </w:pPr>
      <w:r>
        <w:rPr>
          <w:b w:val="false"/>
          <w:bCs w:val="false"/>
          <w:color w:val="000000"/>
          <w:sz w:val="22"/>
          <w:szCs w:val="22"/>
        </w:rPr>
        <w:t xml:space="preserve">At equilibrium E0 (IS0 ∩ LM0), the economy rests at output Y0 and interest rate i0. Fiscal expansion shifts IS rightward to IS1, raising equilibrium to (Y1, i1) — higher output but upward pressure on interest rates due to crowding out. Monetary expansion shifts LM rightward to LM1, raising equilibrium to (Y2, i2) — higher output and lower interest rates. When both policies operate simultaneously in the same direction, the output effect is amplified while the interest rate movement depends on the relative magnitude of the two shifts.</w:t>
      </w:r>
    </w:p>
    <w:p>
      <w:pPr>
        <w:pBdr>
          <w:bottom w:val="single" w:color="2E75B6" w:sz="8" w:space="2"/>
        </w:pBdr>
        <w:spacing w:after="100" w:before="280"/>
      </w:pPr>
      <w:r>
        <w:rPr>
          <w:b/>
          <w:bCs/>
          <w:caps/>
          <w:color w:val="1F4E79"/>
          <w:sz w:val="26"/>
          <w:szCs w:val="26"/>
        </w:rPr>
        <w:t xml:space="preserve">3. INDIA'S MACROECONOMIC CONTEXT: FY25–26 TO FY26–27</w:t>
      </w:r>
    </w:p>
    <w:p>
      <w:pPr>
        <w:pStyle w:val="Heading2"/>
      </w:pPr>
      <w:r>
        <w:rPr>
          <w:b/>
          <w:bCs/>
          <w:color w:val="2E75B6"/>
        </w:rPr>
        <w:t xml:space="preserve">3.1  FY2025–26 Outturn</w:t>
      </w:r>
    </w:p>
    <w:p>
      <w:pPr>
        <w:spacing w:after="120" w:before="80" w:line="276"/>
        <w:jc w:val="both"/>
      </w:pPr>
      <w:r>
        <w:rPr>
          <w:b w:val="false"/>
          <w:bCs w:val="false"/>
          <w:color w:val="000000"/>
          <w:sz w:val="22"/>
          <w:szCs w:val="22"/>
        </w:rPr>
        <w:t xml:space="preserve">India's FY2025–26 performance significantly exceeded expectations set at the start of the year. Real GDP growth reached 7.4% under the new base series, up from the 6.5% projected in the FY25 budget. This recovery was driven by a resurgence in rural demand, accelerating government capex execution in the second half of the fiscal year, and falling food inflation that boosted household purchasing power.</w:t>
      </w:r>
    </w:p>
    <w:p>
      <w:pPr>
        <w:spacing w:after="120" w:before="80" w:line="276"/>
        <w:jc w:val="both"/>
      </w:pPr>
      <w:r>
        <w:rPr>
          <w:b w:val="false"/>
          <w:bCs w:val="false"/>
          <w:color w:val="000000"/>
          <w:sz w:val="22"/>
          <w:szCs w:val="22"/>
        </w:rPr>
        <w:t xml:space="preserve">The RBI's easing cycle — delivering 125 bps of rate cuts across five consecutive MPC meetings — provided crucial monetary accommodation. Inflation fell to a multi-year low of 2.1% for FY26 as a whole, well inside the 2–6% tolerance band, giving the RBI room to cut aggressively. By December 2025, the repo rate stood at 5.25%.</w:t>
      </w:r>
    </w:p>
    <w:p>
      <w:pPr>
        <w:pStyle w:val="Heading2"/>
      </w:pPr>
      <w:r>
        <w:rPr>
          <w:b/>
          <w:bCs/>
          <w:color w:val="2E75B6"/>
        </w:rPr>
        <w:t xml:space="preserve">3.2  New Headwinds Entering FY2026–27</w:t>
      </w:r>
    </w:p>
    <w:p>
      <w:pPr>
        <w:spacing w:after="120" w:before="80" w:line="276"/>
        <w:jc w:val="both"/>
      </w:pPr>
      <w:r>
        <w:rPr>
          <w:b w:val="false"/>
          <w:bCs w:val="false"/>
          <w:color w:val="000000"/>
          <w:sz w:val="22"/>
          <w:szCs w:val="22"/>
        </w:rPr>
        <w:t xml:space="preserve">The macroeconomic context shifted materially in early 2026. The West Asia conflict, which escalated in late February 2026, caused the Indian crude oil basket to surge above $100 per barrel — a sharp reversal from the sub-$65 levels that characterised much of FY26. This created an imported inflationary shock that simultaneously threatens: (a) higher input costs for industry, compressing margins and capex intentions, (b) a widening current account deficit via higher import bills, (c) rupee depreciation pressure adding to imported inflation, and (d) upward revisions to the CPI inflation path, now projected at 4.6% for FY27 versus 2.1% in FY26.</w:t>
      </w:r>
    </w:p>
    <w:p>
      <w:pPr>
        <w:spacing w:after="120" w:before="80" w:line="276"/>
        <w:jc w:val="both"/>
      </w:pPr>
      <w:r>
        <w:rPr>
          <w:b w:val="false"/>
          <w:bCs w:val="false"/>
          <w:color w:val="000000"/>
          <w:sz w:val="22"/>
          <w:szCs w:val="22"/>
        </w:rPr>
        <w:t xml:space="preserve">Consequently, the RBI paused its easing cycle at both February and June 2026 MPC meetings, holding the repo rate at 5.25% with a neutral stance. The growth forecast for FY27 was revised down 50 basis points to 6.9%, with further downside risk if the oil shock persists.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Indicator</w:t>
            </w:r>
          </w:p>
        </w:tc>
        <w:tc>
          <w:tcPr>
            <w:tcW w:type="dxa" w:w="28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FY2025–26 (Actual/RE)</w:t>
            </w:r>
          </w:p>
        </w:tc>
        <w:tc>
          <w:tcPr>
            <w:tcW w:type="dxa" w:w="30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FY2026–27 (Projection)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Real GDP Growth</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7.4%</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6.9% (RBI Apr 2026 est.)</w:t>
            </w:r>
          </w:p>
        </w:tc>
      </w:tr>
      <w:tr>
        <w:tc>
          <w:tcPr>
            <w:tcW w:type="dxa" w:w="32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CPI Inflation</w:t>
            </w:r>
          </w:p>
        </w:tc>
        <w:tc>
          <w:tcPr>
            <w:tcW w:type="dxa" w:w="2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2.1%</w:t>
            </w:r>
          </w:p>
        </w:tc>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4.6% (RBI projection)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Repo Rate (year-end)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5.25%</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5.25% (held, neutral stance)</w:t>
            </w:r>
          </w:p>
        </w:tc>
      </w:tr>
      <w:tr>
        <w:tc>
          <w:tcPr>
            <w:tcW w:type="dxa" w:w="32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Fiscal Deficit (% GDP)</w:t>
            </w:r>
          </w:p>
        </w:tc>
        <w:tc>
          <w:tcPr>
            <w:tcW w:type="dxa" w:w="2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4.4% (RE)</w:t>
            </w:r>
          </w:p>
        </w:tc>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4.3% (BE)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Capital Expenditure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₹11.1 lakh crore (RE)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₹12.2 lakh crore (BE)</w:t>
            </w:r>
          </w:p>
        </w:tc>
      </w:tr>
      <w:tr>
        <w:tc>
          <w:tcPr>
            <w:tcW w:type="dxa" w:w="32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Effective Capital Expenditure</w:t>
            </w:r>
          </w:p>
        </w:tc>
        <w:tc>
          <w:tcPr>
            <w:tcW w:type="dxa" w:w="2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₹15.5 lakh crore (RE)</w:t>
            </w:r>
          </w:p>
        </w:tc>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₹17.15 lakh crore (4.4% GDP)</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Central Govt Debt (% GDP)</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~57%</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55.6% (projected decline)</w:t>
            </w:r>
          </w:p>
        </w:tc>
      </w:tr>
    </w:tbl>
    <w:p>
      <w:pPr>
        <w:spacing w:after="0" w:before="0"/>
      </w:pPr>
      <w:r>
        <w:t xml:space="preserve"/>
      </w:r>
    </w:p>
    <w:p>
      <w:pPr>
        <w:pBdr>
          <w:bottom w:val="single" w:color="2E75B6" w:sz="8" w:space="2"/>
        </w:pBdr>
        <w:spacing w:after="100" w:before="280"/>
      </w:pPr>
      <w:r>
        <w:rPr>
          <w:b/>
          <w:bCs/>
          <w:caps/>
          <w:color w:val="1F4E79"/>
          <w:sz w:val="26"/>
          <w:szCs w:val="26"/>
        </w:rPr>
        <w:t xml:space="preserve">4. FISCAL POLICY MEASURES IN BUDGET 2026–27</w:t>
      </w:r>
    </w:p>
    <w:p>
      <w:pPr>
        <w:spacing w:after="120" w:before="80" w:line="276"/>
        <w:jc w:val="both"/>
      </w:pPr>
      <w:r>
        <w:rPr>
          <w:b w:val="false"/>
          <w:bCs w:val="false"/>
          <w:color w:val="000000"/>
          <w:sz w:val="22"/>
          <w:szCs w:val="22"/>
        </w:rPr>
        <w:t xml:space="preserve">The Union Budget 2026–27 presents an expansionary fiscal stance embedded within a broader commitment to medium-term fiscal consolidation. The fiscal deficit is targeted at 4.3% of GDP — 10 basis points below the FY26 revised estimate — signalling continued progress on the fiscal consolidation path while still increasing the absolute scale of public investment.</w:t>
      </w:r>
    </w:p>
    <w:p>
      <w:pPr>
        <w:pStyle w:val="Heading2"/>
      </w:pPr>
      <w:r>
        <w:rPr>
          <w:b/>
          <w:bCs/>
          <w:color w:val="2E75B6"/>
        </w:rPr>
        <w:t xml:space="preserve">4.1  Income Tax Relief and Consumption Stimulus</w:t>
      </w:r>
    </w:p>
    <w:p>
      <w:pPr>
        <w:spacing w:after="120" w:before="80" w:line="276"/>
        <w:jc w:val="both"/>
      </w:pPr>
      <w:r>
        <w:rPr>
          <w:b w:val="false"/>
          <w:bCs w:val="false"/>
          <w:color w:val="000000"/>
          <w:sz w:val="22"/>
          <w:szCs w:val="22"/>
        </w:rPr>
        <w:t xml:space="preserve">The budget extends the full income-tax rebate to individuals earning up to ₹12.75 lakh annually under the new tax regime, up from ₹12 lakh in the previous budget. The new Income Tax Act 2025, operative from 1 April 2026, simplifies compliance and lowers the effective burden on the salaried middle class. The Tax Collected at Source (TCS) on overseas tour packages and certain LRS remittances was reduced to 2%, easing financial friction for a growing services-consuming demographic.</w:t>
      </w:r>
    </w:p>
    <w:p>
      <w:pPr>
        <w:spacing w:after="120" w:before="80" w:line="276"/>
        <w:jc w:val="both"/>
      </w:pPr>
      <w:r>
        <w:rPr>
          <w:b w:val="false"/>
          <w:bCs w:val="false"/>
          <w:color w:val="000000"/>
          <w:sz w:val="22"/>
          <w:szCs w:val="22"/>
        </w:rPr>
        <w:t xml:space="preserve">IS-LM interpretation: These measures raise households' disposable income, shifting the consumption function upward. This directly increases autonomous aggregate demand, pushing the IS curve rightward at every level of the interest rate. The effect is analogous to a rightward demand shift — output rises, and with an unchanged LM curve, there would be modest upward pressure on interest rates.</w:t>
      </w:r>
    </w:p>
    <w:p>
      <w:pPr>
        <w:pStyle w:val="Heading2"/>
      </w:pPr>
      <w:r>
        <w:rPr>
          <w:b/>
          <w:bCs/>
          <w:color w:val="2E75B6"/>
        </w:rPr>
        <w:t xml:space="preserve">4.2  Capital Expenditure and Infrastructure Push</w:t>
      </w:r>
    </w:p>
    <w:p>
      <w:pPr>
        <w:spacing w:after="120" w:before="80" w:line="276"/>
        <w:jc w:val="both"/>
      </w:pPr>
      <w:r>
        <w:rPr>
          <w:b w:val="false"/>
          <w:bCs w:val="false"/>
          <w:color w:val="000000"/>
          <w:sz w:val="22"/>
          <w:szCs w:val="22"/>
        </w:rPr>
        <w:t xml:space="preserve">Capital expenditure is budgeted at ₹12.2 lakh crore for FY2026–27, an 11.5% increase over the FY26 revised estimate. Effective capital expenditure — which includes grants to states for capital creation — is ₹17.15 lakh crore, equivalent to 4.4% of GDP.</w:t>
      </w:r>
    </w:p>
    <w:p>
      <w:pPr>
        <w:spacing w:after="120" w:before="80" w:line="276"/>
        <w:jc w:val="both"/>
      </w:pPr>
      <w:r>
        <w:rPr>
          <w:b w:val="false"/>
          <w:bCs w:val="false"/>
          <w:color w:val="000000"/>
          <w:sz w:val="22"/>
          <w:szCs w:val="22"/>
        </w:rPr>
        <w:t xml:space="preserve">Flagship announcements include: seven high-speed rail corridors connecting major cities; twenty new national waterways to be made operational over five years; the India Semiconductor Mission 2.0 (ISM 2.0), focusing on equipment, materials, and domestic IP development; rare earth corridors in mineral-rich states for critical minerals processing; and an expanded Electronics Components Manufacturing Scheme with an outlay raised from ₹22,919 crore to ₹40,000 crore.</w:t>
      </w:r>
    </w:p>
    <w:p>
      <w:pPr>
        <w:spacing w:after="120" w:before="80" w:line="276"/>
        <w:jc w:val="both"/>
      </w:pPr>
      <w:r>
        <w:rPr>
          <w:b w:val="false"/>
          <w:bCs w:val="false"/>
          <w:color w:val="000000"/>
          <w:sz w:val="22"/>
          <w:szCs w:val="22"/>
        </w:rPr>
        <w:t xml:space="preserve">IS-LM interpretation: Government investment (G) is a direct component of aggregate demand. An increase in capex shifts the IS curve significantly rightward, with a multiplier effect — each rupee of government spending generates additional rounds of private income and consumption. Infrastructure investment also raises the productive capacity of the economy, shifting the aggregate supply curve over the medium term — a supply-side complement to the demand-side IS shift.</w:t>
      </w:r>
    </w:p>
    <w:p>
      <w:pPr>
        <w:pStyle w:val="Heading2"/>
      </w:pPr>
      <w:r>
        <w:rPr>
          <w:b/>
          <w:bCs/>
          <w:color w:val="2E75B6"/>
        </w:rPr>
        <w:t xml:space="preserve">4.3  Sectoral and Structural Measures</w:t>
      </w:r>
    </w:p>
    <w:p>
      <w:pPr>
        <w:pStyle w:val="ListParagraph"/>
        <w:numPr>
          <w:ilvl w:val="0"/>
          <w:numId w:val="2"/>
        </w:numPr>
        <w:spacing w:after="60" w:before="40" w:line="276"/>
      </w:pPr>
      <w:r>
        <w:rPr>
          <w:sz w:val="22"/>
          <w:szCs w:val="22"/>
        </w:rPr>
        <w:t xml:space="preserve">SME Growth Fund: ₹10,000 crore dedicated fund to improve capital access for micro, small, and medium enterprises, addressing the persistent credit gap in this segment.</w:t>
      </w:r>
    </w:p>
    <w:p>
      <w:pPr>
        <w:pStyle w:val="ListParagraph"/>
        <w:numPr>
          <w:ilvl w:val="0"/>
          <w:numId w:val="2"/>
        </w:numPr>
        <w:spacing w:after="60" w:before="40" w:line="276"/>
      </w:pPr>
      <w:r>
        <w:rPr>
          <w:sz w:val="22"/>
          <w:szCs w:val="22"/>
        </w:rPr>
        <w:t xml:space="preserve">Biopharma SHAKTI: ₹10,000 crore over five years to develop India as a global biopharma manufacturing hub, creating high-value employment.</w:t>
      </w:r>
    </w:p>
    <w:p>
      <w:pPr>
        <w:pStyle w:val="ListParagraph"/>
        <w:numPr>
          <w:ilvl w:val="0"/>
          <w:numId w:val="2"/>
        </w:numPr>
        <w:spacing w:after="60" w:before="40" w:line="276"/>
      </w:pPr>
      <w:r>
        <w:rPr>
          <w:sz w:val="22"/>
          <w:szCs w:val="22"/>
        </w:rPr>
        <w:t xml:space="preserve">Container manufacturing scheme: ₹10,000 crore over five years, targeting a strategic gap in India's logistics value chain.</w:t>
      </w:r>
    </w:p>
    <w:p>
      <w:pPr>
        <w:pStyle w:val="ListParagraph"/>
        <w:numPr>
          <w:ilvl w:val="0"/>
          <w:numId w:val="2"/>
        </w:numPr>
        <w:spacing w:after="60" w:before="40" w:line="276"/>
      </w:pPr>
      <w:r>
        <w:rPr>
          <w:sz w:val="22"/>
          <w:szCs w:val="22"/>
        </w:rPr>
        <w:t xml:space="preserve">Carbon capture fund: ₹20,000 crore over five years for carbon capture, utilisation and storage technologies across power, steel, cement, and chemicals.</w:t>
      </w:r>
    </w:p>
    <w:p>
      <w:pPr>
        <w:pStyle w:val="ListParagraph"/>
        <w:numPr>
          <w:ilvl w:val="0"/>
          <w:numId w:val="2"/>
        </w:numPr>
        <w:spacing w:after="60" w:before="40" w:line="276"/>
      </w:pPr>
      <w:r>
        <w:rPr>
          <w:sz w:val="22"/>
          <w:szCs w:val="22"/>
        </w:rPr>
        <w:t xml:space="preserve">Self-Reliant India Fund: Additional ₹2,000 crore for risk capital support to micro enterprises.</w:t>
      </w:r>
    </w:p>
    <w:p>
      <w:pPr>
        <w:pStyle w:val="ListParagraph"/>
        <w:numPr>
          <w:ilvl w:val="0"/>
          <w:numId w:val="2"/>
        </w:numPr>
        <w:spacing w:after="60" w:before="40" w:line="276"/>
      </w:pPr>
      <w:r>
        <w:rPr>
          <w:sz w:val="22"/>
          <w:szCs w:val="22"/>
        </w:rPr>
        <w:t xml:space="preserve">Investment Friendliness Index: A new competitive ranking of states to incentivise policy reforms and FDI attraction at the sub-national level.</w:t>
      </w:r>
    </w:p>
    <w:p>
      <w:pPr>
        <w:spacing w:after="0" w:before="0"/>
      </w:pPr>
      <w:r>
        <w:t xml:space="preserve"/>
      </w:r>
    </w:p>
    <w:p>
      <w:pPr>
        <w:spacing w:after="120" w:before="80" w:line="276"/>
        <w:jc w:val="both"/>
      </w:pPr>
      <w:r>
        <w:rPr>
          <w:b w:val="false"/>
          <w:bCs w:val="false"/>
          <w:color w:val="000000"/>
          <w:sz w:val="22"/>
          <w:szCs w:val="22"/>
        </w:rPr>
        <w:t xml:space="preserve">Collectively, these measures increase both the level and efficiency of investment spending, reinforcing the IS shift from the demand side while building long-run supply potential.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000"/>
        <w:gridCol w:w="1860"/>
      </w:tblGrid>
      <w:tr>
        <w:trPr>
          <w:tblHeader/>
        </w:trPr>
        <w:tc>
          <w:tcPr>
            <w:tcW w:type="dxa" w:w="30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Fiscal Measure</w:t>
            </w:r>
          </w:p>
        </w:tc>
        <w:tc>
          <w:tcPr>
            <w:tcW w:type="dxa" w:w="21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w:t>
            </w:r>
          </w:p>
        </w:tc>
        <w:tc>
          <w:tcPr>
            <w:tcW w:type="dxa" w:w="20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IS-LM Effect</w:t>
            </w:r>
          </w:p>
        </w:tc>
        <w:tc>
          <w:tcPr>
            <w:tcW w:type="dxa" w:w="186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Magnitude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Income tax relief (₹12.75L exemption)</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Tax cut (T↓)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 rightward</w:t>
            </w:r>
          </w:p>
        </w:tc>
        <w:tc>
          <w:tcPr>
            <w:tcW w:type="dxa" w:w="18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Moderate</w:t>
            </w:r>
          </w:p>
        </w:tc>
      </w:tr>
      <w:tr>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Capital expenditure ₹12.2 lakh crore</w:t>
            </w:r>
          </w:p>
        </w:tc>
        <w:tc>
          <w:tcPr>
            <w:tcW w:type="dxa" w:w="21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Govt spending (G↑)</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 rightward (strong)</w:t>
            </w:r>
          </w:p>
        </w:tc>
        <w:tc>
          <w:tcPr>
            <w:tcW w:type="dxa" w:w="18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Large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SME Growth Fund ₹10,000 crore</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Credit + investment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 rightward</w:t>
            </w:r>
          </w:p>
        </w:tc>
        <w:tc>
          <w:tcPr>
            <w:tcW w:type="dxa" w:w="18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Moderate</w:t>
            </w:r>
          </w:p>
        </w:tc>
      </w:tr>
      <w:tr>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ISM 2.0 + Electronics Mfg Scheme</w:t>
            </w:r>
          </w:p>
        </w:tc>
        <w:tc>
          <w:tcPr>
            <w:tcW w:type="dxa" w:w="21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 + supply capacity</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 rightward + LRAS</w:t>
            </w:r>
          </w:p>
        </w:tc>
        <w:tc>
          <w:tcPr>
            <w:tcW w:type="dxa" w:w="18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Medium-Long run</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Biopharma SHAKTI ₹10,000 crore</w:t>
            </w:r>
          </w:p>
        </w:tc>
        <w:tc>
          <w:tcPr>
            <w:tcW w:type="dxa" w:w="2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Govt spending (G↑)</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 rightward</w:t>
            </w:r>
          </w:p>
        </w:tc>
        <w:tc>
          <w:tcPr>
            <w:tcW w:type="dxa" w:w="18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Moderate</w:t>
            </w:r>
          </w:p>
        </w:tc>
      </w:tr>
      <w:tr>
        <w:tc>
          <w:tcPr>
            <w:tcW w:type="dxa" w:w="3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Fiscal deficit: 4.3% GDP (↓ from 4.4%)</w:t>
            </w:r>
          </w:p>
        </w:tc>
        <w:tc>
          <w:tcPr>
            <w:tcW w:type="dxa" w:w="21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Fiscal consolidation</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Limits IS shift magnitude</w:t>
            </w:r>
          </w:p>
        </w:tc>
        <w:tc>
          <w:tcPr>
            <w:tcW w:type="dxa" w:w="18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Constraining</w:t>
            </w:r>
          </w:p>
        </w:tc>
      </w:tr>
    </w:tbl>
    <w:p>
      <w:pPr>
        <w:spacing w:after="0" w:before="0"/>
      </w:pPr>
      <w:r>
        <w:t xml:space="preserve"/>
      </w:r>
    </w:p>
    <w:p>
      <w:pPr>
        <w:pBdr>
          <w:bottom w:val="single" w:color="2E75B6" w:sz="8" w:space="2"/>
        </w:pBdr>
        <w:spacing w:after="100" w:before="280"/>
      </w:pPr>
      <w:r>
        <w:rPr>
          <w:b/>
          <w:bCs/>
          <w:caps/>
          <w:color w:val="1F4E79"/>
          <w:sz w:val="26"/>
          <w:szCs w:val="26"/>
        </w:rPr>
        <w:t xml:space="preserve">5. MONETARY POLICY: THE RBI'S EASING CYCLE AND 2026 PAUSE</w:t>
      </w:r>
    </w:p>
    <w:p>
      <w:pPr>
        <w:pStyle w:val="Heading2"/>
      </w:pPr>
      <w:r>
        <w:rPr>
          <w:b/>
          <w:bCs/>
          <w:color w:val="2E75B6"/>
        </w:rPr>
        <w:t xml:space="preserve">5.1  The FY26 Easing Cycle (Lagged LM Effect)</w:t>
      </w:r>
    </w:p>
    <w:p>
      <w:pPr>
        <w:spacing w:after="120" w:before="80" w:line="276"/>
        <w:jc w:val="both"/>
      </w:pPr>
      <w:r>
        <w:rPr>
          <w:b w:val="false"/>
          <w:bCs w:val="false"/>
          <w:color w:val="000000"/>
          <w:sz w:val="22"/>
          <w:szCs w:val="22"/>
        </w:rPr>
        <w:t xml:space="preserve">The RBI's monetary policy in FY2026–27 is best understood as operating with a lagged LM effect from the FY26 easing cycle. Between February 2025 and December 2025, the RBI cut the repo rate by a cumulative 125 basis points — from 6.5% to 5.25% — across five consecutive MPC meetings. This represents one of the most aggressive easing cycles in post-pandemic India.</w:t>
      </w:r>
    </w:p>
    <w:p>
      <w:pPr>
        <w:spacing w:after="120" w:before="80" w:line="276"/>
        <w:jc w:val="both"/>
      </w:pPr>
      <w:r>
        <w:rPr>
          <w:b w:val="false"/>
          <w:bCs w:val="false"/>
          <w:color w:val="000000"/>
          <w:sz w:val="22"/>
          <w:szCs w:val="22"/>
        </w:rPr>
        <w:t xml:space="preserve">The monetary transmission from these cuts into bank lending rates, housing loan EMIs, corporate borrowing costs, and investment decisions operates with a lag of 3–6 quarters. Thus, even though the RBI is currently on pause, the full pass-through of FY26 rate cuts is still filtering into the real economy in FY27, providing a sustained rightward impulse to the LM curve relative to the FY25 baseline.</w:t>
      </w:r>
    </w:p>
    <w:p>
      <w:pPr>
        <w:pStyle w:val="Heading2"/>
      </w:pPr>
      <w:r>
        <w:rPr>
          <w:b/>
          <w:bCs/>
          <w:color w:val="2E75B6"/>
        </w:rPr>
        <w:t xml:space="preserve">5.2  The April–June 2026 Pause: A Neutral Stance</w:t>
      </w:r>
    </w:p>
    <w:p>
      <w:pPr>
        <w:spacing w:after="120" w:before="80" w:line="276"/>
        <w:jc w:val="both"/>
      </w:pPr>
      <w:r>
        <w:rPr>
          <w:b w:val="false"/>
          <w:bCs w:val="false"/>
          <w:color w:val="000000"/>
          <w:sz w:val="22"/>
          <w:szCs w:val="22"/>
        </w:rPr>
        <w:t xml:space="preserve">In April 2026, the RBI held the repo rate at 5.25% with a unanimous decision and maintained a neutral stance. The rationale was clear: the West Asia conflict pushed crude oil above $100, threatening the 4% inflation target. FY27 CPI inflation was revised up to 4.6%, nearly double the 2.1% outturn in FY26.</w:t>
      </w:r>
    </w:p>
    <w:p>
      <w:pPr>
        <w:spacing w:after="120" w:before="80" w:line="276"/>
        <w:jc w:val="both"/>
      </w:pPr>
      <w:r>
        <w:rPr>
          <w:b w:val="false"/>
          <w:bCs w:val="false"/>
          <w:color w:val="000000"/>
          <w:sz w:val="22"/>
          <w:szCs w:val="22"/>
        </w:rPr>
        <w:t xml:space="preserve">The neutral stance signals the RBI's readiness to move in either direction. Governor Malhotra's April statement indicated three conditions for a rate hike: durable CPI above 5%, sustained rupee weakness, and fiscal slippage. None of these conditions was met as of June 2026, but the rate hike scenario is no longer negligible. The June 2026 MPC meeting confirmed the hold at 5.25%.</w:t>
      </w:r>
    </w:p>
    <w:p>
      <w:pPr>
        <w:spacing w:after="120" w:before="80" w:line="276"/>
        <w:jc w:val="both"/>
      </w:pPr>
      <w:r>
        <w:rPr>
          <w:b w:val="false"/>
          <w:bCs w:val="false"/>
          <w:color w:val="000000"/>
          <w:sz w:val="22"/>
          <w:szCs w:val="22"/>
        </w:rPr>
        <w:t xml:space="preserve">IS-LM interpretation: The current monetary policy position implies a fixed LM curve in the short run (no new LM shift in FY27). The LM shift operating in FY27 is the lagged pass-through from FY26 cuts. The risk of a rate hike — if inflation breaches 5% durably — would shift LM leftward, partially crowding out the fiscal IS expansion.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500"/>
        <w:gridCol w:w="2760"/>
      </w:tblGrid>
      <w:tr>
        <w:trPr>
          <w:tblHeader/>
        </w:trPr>
        <w:tc>
          <w:tcPr>
            <w:tcW w:type="dxa" w:w="19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MPC Meeting</w:t>
            </w:r>
          </w:p>
        </w:tc>
        <w:tc>
          <w:tcPr>
            <w:tcW w:type="dxa" w:w="13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Decision</w:t>
            </w:r>
          </w:p>
        </w:tc>
        <w:tc>
          <w:tcPr>
            <w:tcW w:type="dxa" w:w="15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Repo Rate</w:t>
            </w:r>
          </w:p>
        </w:tc>
        <w:tc>
          <w:tcPr>
            <w:tcW w:type="dxa" w:w="15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Stance</w:t>
            </w:r>
          </w:p>
        </w:tc>
        <w:tc>
          <w:tcPr>
            <w:tcW w:type="dxa" w:w="276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Key Driver</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Feb 2025</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Cut 25 bps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6.25%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Neutral</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FY25 slowdown support</w:t>
            </w:r>
          </w:p>
        </w:tc>
      </w:tr>
      <w:tr>
        <w:tc>
          <w:tcPr>
            <w:tcW w:type="dxa" w:w="19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Apr 2025</w:t>
            </w:r>
          </w:p>
        </w:tc>
        <w:tc>
          <w:tcPr>
            <w:tcW w:type="dxa" w:w="13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Cut 25 bps</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6.00%</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Accommodative</w:t>
            </w:r>
          </w:p>
        </w:tc>
        <w:tc>
          <w:tcPr>
            <w:tcW w:type="dxa" w:w="27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Tariff risks, growth</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Jun 2025</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Cut 25 bps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5.75%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Accommodative</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Inflation below target</w:t>
            </w:r>
          </w:p>
        </w:tc>
      </w:tr>
      <w:tr>
        <w:tc>
          <w:tcPr>
            <w:tcW w:type="dxa" w:w="19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Oct 2025</w:t>
            </w:r>
          </w:p>
        </w:tc>
        <w:tc>
          <w:tcPr>
            <w:tcW w:type="dxa" w:w="13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Cut 25 bps</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5.50%</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Accommodative</w:t>
            </w:r>
          </w:p>
        </w:tc>
        <w:tc>
          <w:tcPr>
            <w:tcW w:type="dxa" w:w="27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Sustained disinflation</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Dec 2025</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Cut 25 bps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5.25%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Neutral</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Confidence in recovery</w:t>
            </w:r>
          </w:p>
        </w:tc>
      </w:tr>
      <w:tr>
        <w:tc>
          <w:tcPr>
            <w:tcW w:type="dxa" w:w="19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Feb 2026</w:t>
            </w:r>
          </w:p>
        </w:tc>
        <w:tc>
          <w:tcPr>
            <w:tcW w:type="dxa" w:w="13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Hold</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5.25%</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Neutral</w:t>
            </w:r>
          </w:p>
        </w:tc>
        <w:tc>
          <w:tcPr>
            <w:tcW w:type="dxa" w:w="27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West Asia oil shock</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Apr 2026</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Hold</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5.25%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Neutral</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Crude &gt; $100, INR weak</w:t>
            </w:r>
          </w:p>
        </w:tc>
      </w:tr>
      <w:tr>
        <w:tc>
          <w:tcPr>
            <w:tcW w:type="dxa" w:w="19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Jun 2026</w:t>
            </w:r>
          </w:p>
        </w:tc>
        <w:tc>
          <w:tcPr>
            <w:tcW w:type="dxa" w:w="13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Hold</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5.25%</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Neutral</w:t>
            </w:r>
          </w:p>
        </w:tc>
        <w:tc>
          <w:tcPr>
            <w:tcW w:type="dxa" w:w="27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Inflation, rupee pressure</w:t>
            </w:r>
          </w:p>
        </w:tc>
      </w:tr>
    </w:tbl>
    <w:p>
      <w:pPr>
        <w:spacing w:after="0" w:before="0"/>
      </w:pPr>
      <w:r>
        <w:t xml:space="preserve"/>
      </w:r>
    </w:p>
    <w:p>
      <w:pPr>
        <w:pBdr>
          <w:bottom w:val="single" w:color="2E75B6" w:sz="8" w:space="2"/>
        </w:pBdr>
        <w:spacing w:after="100" w:before="280"/>
      </w:pPr>
      <w:r>
        <w:rPr>
          <w:b/>
          <w:bCs/>
          <w:caps/>
          <w:color w:val="1F4E79"/>
          <w:sz w:val="26"/>
          <w:szCs w:val="26"/>
        </w:rPr>
        <w:t xml:space="preserve">6. IS-LM ANALYSIS: COMBINED POLICY EFFECTS</w:t>
      </w:r>
    </w:p>
    <w:p>
      <w:pPr>
        <w:pStyle w:val="Heading2"/>
      </w:pPr>
      <w:r>
        <w:rPr>
          <w:b/>
          <w:bCs/>
          <w:color w:val="2E75B6"/>
        </w:rPr>
        <w:t xml:space="preserve">6.1  Baseline Equilibrium (FY25 Reference)</w:t>
      </w:r>
    </w:p>
    <w:p>
      <w:pPr>
        <w:spacing w:after="120" w:before="80" w:line="276"/>
        <w:jc w:val="both"/>
      </w:pPr>
      <w:r>
        <w:rPr>
          <w:b w:val="false"/>
          <w:bCs w:val="false"/>
          <w:color w:val="000000"/>
          <w:sz w:val="22"/>
          <w:szCs w:val="22"/>
        </w:rPr>
        <w:t xml:space="preserve">As the reference baseline, consider India's macroeconomic equilibrium in FY2024–25: output Y0 below potential, interest rate i0 = 6.5% (repo rate), fiscal deficit at 5.1% of GDP, and CPI inflation running high (~4.8%). The IS curve IS0 and LM curve LM0 intersect at E0 = (Y0, i0).</w:t>
      </w:r>
    </w:p>
    <w:p>
      <w:pPr>
        <w:pStyle w:val="Heading2"/>
      </w:pPr>
      <w:r>
        <w:rPr>
          <w:b/>
          <w:bCs/>
          <w:color w:val="2E75B6"/>
        </w:rPr>
        <w:t xml:space="preserve">6.2  Monetary LM Shift: The FY26 Easing Cycle</w:t>
      </w:r>
    </w:p>
    <w:p>
      <w:pPr>
        <w:spacing w:after="120" w:before="80" w:line="276"/>
        <w:jc w:val="both"/>
      </w:pPr>
      <w:r>
        <w:rPr>
          <w:b w:val="false"/>
          <w:bCs w:val="false"/>
          <w:color w:val="000000"/>
          <w:sz w:val="22"/>
          <w:szCs w:val="22"/>
        </w:rPr>
        <w:t xml:space="preserve">The 125 bps of FY26 cuts shifts LM0 rightward to LM1. At the new monetary equilibrium (with IS0 held constant), this would yield a lower interest rate and higher output — call it E1 = (Y1, i1) where Y1 &gt; Y0 and i1 &lt; i0. However, the full transmission is lagged, so by Budget 2026 time, the economy is somewhere between E0 and E1 in terms of transmitted LM shift. The FY26 GDP outturn of 7.4% suggests the LM shift was substantial and well-transmitted by year-end.</w:t>
      </w:r>
    </w:p>
    <w:p>
      <w:pPr>
        <w:pStyle w:val="Heading2"/>
      </w:pPr>
      <w:r>
        <w:rPr>
          <w:b/>
          <w:bCs/>
          <w:color w:val="2E75B6"/>
        </w:rPr>
        <w:t xml:space="preserve">6.3  Fiscal IS Shift: Budget 2026–27</w:t>
      </w:r>
    </w:p>
    <w:p>
      <w:pPr>
        <w:spacing w:after="120" w:before="80" w:line="276"/>
        <w:jc w:val="both"/>
      </w:pPr>
      <w:r>
        <w:rPr>
          <w:b w:val="false"/>
          <w:bCs w:val="false"/>
          <w:color w:val="000000"/>
          <w:sz w:val="22"/>
          <w:szCs w:val="22"/>
        </w:rPr>
        <w:t xml:space="preserve">The ₹12.2 lakh crore capex, combined with income tax cuts and SME/sectoral schemes, shifts IS1 rightward to IS2. The magnitude of this IS shift depends on: the fiscal multiplier (estimated at 0.8–1.2 for India's infrastructure spending), the marginal propensity to consume of the beneficiary households, and how much of the capex is spent domestically versus imported. Taking a multiplier of ~1.0, and given total additional G ≈ ₹1.1 lakh crore vs FY26, the IS shift adds approximately 0.5–0.8 percentage points to potential output, subject to leakages.</w:t>
      </w:r>
    </w:p>
    <w:p>
      <w:pPr>
        <w:pStyle w:val="Heading2"/>
      </w:pPr>
      <w:r>
        <w:rPr>
          <w:b/>
          <w:bCs/>
          <w:color w:val="2E75B6"/>
        </w:rPr>
        <w:t xml:space="preserve">6.4  The Combined Equilibrium: FY2026–27</w:t>
      </w:r>
    </w:p>
    <w:p>
      <w:pPr>
        <w:spacing w:after="120" w:before="80" w:line="276"/>
        <w:jc w:val="both"/>
      </w:pPr>
      <w:r>
        <w:rPr>
          <w:b w:val="false"/>
          <w:bCs w:val="false"/>
          <w:color w:val="000000"/>
          <w:sz w:val="22"/>
          <w:szCs w:val="22"/>
        </w:rPr>
        <w:t xml:space="preserve">The critical feature of the FY27 IS-LM configuration is the asymmetry between the shifts: (1) IS shifts rightward concurrently — Budget 2026's capex and tax cuts are being implemented in FY27, (2) LM shifts are lagged — the FY26 easing cycle's pass-through is still filtering into lending rates, but no new LM shift is occurring, (3) A rate hike risk could create a leftward LM correction later in FY27 if oil shocks persist.</w:t>
      </w:r>
    </w:p>
    <w:p>
      <w:pPr>
        <w:spacing w:after="120" w:before="80" w:line="276"/>
        <w:jc w:val="both"/>
      </w:pPr>
      <w:r>
        <w:rPr>
          <w:b w:val="false"/>
          <w:bCs w:val="false"/>
          <w:color w:val="000000"/>
          <w:sz w:val="22"/>
          <w:szCs w:val="22"/>
        </w:rPr>
        <w:t xml:space="preserve">Scenario A — Base Case (No rate hike): IS2 intersects the partially shifted LM1. Output rises to Y2 &gt; Y1, with interest rate at i2. The fiscal IS expansion is mildly crowding out private investment via upward interest rate pressure compared to full monetary accommodation, but the lagged LM shift partially offsets this. Net output effect: GDP growth ~6.5–7.0% in FY27.</w:t>
      </w:r>
    </w:p>
    <w:p>
      <w:pPr>
        <w:spacing w:after="120" w:before="80" w:line="276"/>
        <w:jc w:val="both"/>
      </w:pPr>
      <w:r>
        <w:rPr>
          <w:b w:val="false"/>
          <w:bCs w:val="false"/>
          <w:color w:val="000000"/>
          <w:sz w:val="22"/>
          <w:szCs w:val="22"/>
        </w:rPr>
        <w:t xml:space="preserve">Scenario B — Rate Hike Risk: If CPI breaches 5% durably, LM shifts back leftward to LM_tight. The IS2 expansion faces stronger crowding out. Output growth could fall to 6.0–6.5%. This is the scenario the RBI's neutral stance is designed to manage by preserving optionality.</w:t>
      </w:r>
    </w:p>
    <w:p>
      <w:pPr>
        <w:spacing w:after="120" w:before="80" w:line="276"/>
        <w:jc w:val="both"/>
      </w:pPr>
      <w:r>
        <w:rPr>
          <w:b w:val="false"/>
          <w:bCs w:val="false"/>
          <w:color w:val="000000"/>
          <w:sz w:val="22"/>
          <w:szCs w:val="22"/>
        </w:rPr>
        <w:t xml:space="preserve">Scenario C — Oil Price Reversal: If the West Asia conflict de-escalates and crude falls back below $80, the RBI could resume cutting (LM shifts further right to LM2), fully accommodating the IS expansion. Output could reach Y3, with growth recovering toward 7.5%+.</w:t>
      </w:r>
    </w:p>
    <w:p>
      <w:pPr>
        <w:pBdr>
          <w:bottom w:val="single" w:color="2E75B6" w:sz="4" w:space="1"/>
        </w:pBdr>
        <w:spacing w:after="60" w:before="160"/>
        <w:jc w:val="center"/>
      </w:pPr>
      <w:r>
        <w:rPr>
          <w:b/>
          <w:bCs/>
          <w:color w:val="1F4E79"/>
          <w:sz w:val="22"/>
          <w:szCs w:val="22"/>
        </w:rPr>
        <w:t xml:space="preserve">Figure 1: IS-LM Equilibrium Shifts — India FY2025 → FY2027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8CCE4" w:sz="1"/>
              <w:left w:val="single" w:color="2E75B6" w:sz="20"/>
              <w:bottom w:val="single" w:color="B8CCE4" w:sz="1"/>
              <w:right w:val="single" w:color="B8CCE4" w:sz="1"/>
            </w:tcBorders>
            <w:shd w:fill="F5F9FC" w:val="clear"/>
            <w:tcMar>
              <w:top w:type="dxa" w:w="140"/>
              <w:left w:type="dxa" w:w="240"/>
              <w:bottom w:type="dxa" w:w="140"/>
              <w:right w:type="dxa" w:w="240"/>
            </w:tcMar>
          </w:tcPr>
          <w:p>
            <w:pPr>
              <w:spacing w:after="60" w:before="0"/>
            </w:pPr>
            <w:r>
              <w:rPr>
                <w:rFonts w:ascii="Courier New" w:cs="Courier New" w:eastAsia="Courier New" w:hAnsi="Courier New"/>
                <w:b/>
                <w:bCs/>
                <w:color w:val="1F4E79"/>
                <w:sz w:val="18"/>
                <w:szCs w:val="18"/>
              </w:rPr>
              <w:t xml:space="preserve">Interest Rate (i) ↑</w:t>
            </w:r>
          </w:p>
          <w:p>
            <w:pPr>
              <w:spacing w:after="0" w:before="0" w:line="220"/>
            </w:pPr>
            <w:r>
              <w:rPr>
                <w:rFonts w:ascii="Courier New" w:cs="Courier New" w:eastAsia="Courier New" w:hAnsi="Courier New"/>
                <w:color w:val="1F3864"/>
                <w:sz w:val="18"/>
                <w:szCs w:val="18"/>
              </w:rPr>
              <w:t xml:space="preserve">          |</w:t>
            </w:r>
          </w:p>
          <w:p>
            <w:pPr>
              <w:spacing w:after="0" w:before="0" w:line="220"/>
            </w:pPr>
            <w:r>
              <w:rPr>
                <w:rFonts w:ascii="Courier New" w:cs="Courier New" w:eastAsia="Courier New" w:hAnsi="Courier New"/>
                <w:color w:val="CC0000"/>
                <w:sz w:val="18"/>
                <w:szCs w:val="18"/>
              </w:rPr>
              <w:t xml:space="preserve">  6.50%   |  ● E0 (IS0 ∩ LM0)  [FY25 baseline]</w:t>
            </w:r>
          </w:p>
          <w:p>
            <w:pPr>
              <w:spacing w:after="0" w:before="0" w:line="220"/>
            </w:pPr>
            <w:r>
              <w:rPr>
                <w:rFonts w:ascii="Courier New" w:cs="Courier New" w:eastAsia="Courier New" w:hAnsi="Courier New"/>
                <w:color w:val="1F3864"/>
                <w:sz w:val="18"/>
                <w:szCs w:val="18"/>
              </w:rPr>
              <w:t xml:space="preserve">          |     \   LM0 (tight)    LM1 (eased)    LM_risk</w:t>
            </w:r>
          </w:p>
          <w:p>
            <w:pPr>
              <w:spacing w:after="0" w:before="0" w:line="220"/>
            </w:pPr>
            <w:r>
              <w:rPr>
                <w:rFonts w:ascii="Courier New" w:cs="Courier New" w:eastAsia="Courier New" w:hAnsi="Courier New"/>
                <w:color w:val="E36C09"/>
                <w:sz w:val="18"/>
                <w:szCs w:val="18"/>
              </w:rPr>
              <w:t xml:space="preserve">  5.25%   |      \  ●  E1 (IS0 ∩ LM1)  [post-easing]</w:t>
            </w:r>
          </w:p>
          <w:p>
            <w:pPr>
              <w:spacing w:after="0" w:before="0" w:line="220"/>
            </w:pPr>
            <w:r>
              <w:rPr>
                <w:rFonts w:ascii="Courier New" w:cs="Courier New" w:eastAsia="Courier New" w:hAnsi="Courier New"/>
                <w:color w:val="1F3864"/>
                <w:sz w:val="18"/>
                <w:szCs w:val="18"/>
              </w:rPr>
              <w:t xml:space="preserve">          |       \      \  IS0          IS1 (Budget 26)</w:t>
            </w:r>
          </w:p>
          <w:p>
            <w:pPr>
              <w:spacing w:after="0" w:before="0" w:line="220"/>
            </w:pPr>
            <w:r>
              <w:rPr>
                <w:rFonts w:ascii="Courier New" w:cs="Courier New" w:eastAsia="Courier New" w:hAnsi="Courier New"/>
                <w:color w:val="007030"/>
                <w:sz w:val="18"/>
                <w:szCs w:val="18"/>
              </w:rPr>
              <w:t xml:space="preserve">  ~5.0%   |        \      ● E2 (IS1 ∩ LM1)  [Base Case]</w:t>
            </w:r>
          </w:p>
          <w:p>
            <w:pPr>
              <w:spacing w:after="0" w:before="0" w:line="220"/>
            </w:pPr>
            <w:r>
              <w:rPr>
                <w:rFonts w:ascii="Courier New" w:cs="Courier New" w:eastAsia="Courier New" w:hAnsi="Courier New"/>
                <w:color w:val="1F3864"/>
                <w:sz w:val="18"/>
                <w:szCs w:val="18"/>
              </w:rPr>
              <w:t xml:space="preserve">          |         \          \</w:t>
            </w:r>
          </w:p>
          <w:p>
            <w:pPr>
              <w:spacing w:after="0" w:before="0" w:line="220"/>
            </w:pPr>
            <w:r>
              <w:rPr>
                <w:rFonts w:ascii="Courier New" w:cs="Courier New" w:eastAsia="Courier New" w:hAnsi="Courier New"/>
                <w:color w:val="2E75B6"/>
                <w:sz w:val="18"/>
                <w:szCs w:val="18"/>
              </w:rPr>
              <w:t xml:space="preserve">  ~4.5%   |          \           ● E3 (IS1 ∩ LM2)  [Oil reversal]</w:t>
            </w:r>
          </w:p>
          <w:p>
            <w:pPr>
              <w:spacing w:after="0" w:before="0" w:line="220"/>
            </w:pPr>
            <w:r>
              <w:rPr>
                <w:rFonts w:ascii="Courier New" w:cs="Courier New" w:eastAsia="Courier New" w:hAnsi="Courier New"/>
                <w:color w:val="1F3864"/>
                <w:sz w:val="18"/>
                <w:szCs w:val="18"/>
              </w:rPr>
              <w:t xml:space="preserve">          |______________________________________________→ Output (Y)</w:t>
            </w:r>
          </w:p>
          <w:p>
            <w:pPr>
              <w:spacing w:after="0" w:before="0" w:line="220"/>
            </w:pPr>
            <w:r>
              <w:rPr>
                <w:rFonts w:ascii="Courier New" w:cs="Courier New" w:eastAsia="Courier New" w:hAnsi="Courier New"/>
                <w:color w:val="555555"/>
                <w:sz w:val="18"/>
                <w:szCs w:val="18"/>
              </w:rPr>
              <w:t xml:space="preserve">                Y0        Y1         Y2        Y3</w:t>
            </w:r>
          </w:p>
        </w:tc>
      </w:tr>
    </w:tbl>
    <w:p>
      <w:pPr>
        <w:spacing w:after="160" w:before="60"/>
        <w:jc w:val="center"/>
      </w:pPr>
      <w:r>
        <w:rPr>
          <w:color w:val="666666"/>
          <w:sz w:val="18"/>
          <w:szCs w:val="18"/>
        </w:rPr>
        <w:t xml:space="preserve">E0=FY25 base; E1=post-FY26 easing; E2=Budget 2026+LM lagged (base); E3=Budget 2026+resumed cuts (upside)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1600"/>
        <w:gridCol w:w="960"/>
      </w:tblGrid>
      <w:tr>
        <w:trPr>
          <w:tblHeader/>
        </w:trPr>
        <w:tc>
          <w:tcPr>
            <w:tcW w:type="dxa" w:w="22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Scenario</w:t>
            </w:r>
          </w:p>
        </w:tc>
        <w:tc>
          <w:tcPr>
            <w:tcW w:type="dxa" w:w="14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IS Shift</w:t>
            </w:r>
          </w:p>
        </w:tc>
        <w:tc>
          <w:tcPr>
            <w:tcW w:type="dxa" w:w="16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LM Shift</w:t>
            </w:r>
          </w:p>
        </w:tc>
        <w:tc>
          <w:tcPr>
            <w:tcW w:type="dxa" w:w="14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Output (Y)</w:t>
            </w:r>
          </w:p>
        </w:tc>
        <w:tc>
          <w:tcPr>
            <w:tcW w:type="dxa" w:w="16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Interest Rate (i)</w:t>
            </w:r>
          </w:p>
        </w:tc>
        <w:tc>
          <w:tcPr>
            <w:tcW w:type="dxa" w:w="96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GDP Est.</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E0 — FY25 Baseline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LM0 (tight)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Y0 (lowest)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6.50% (high)</w:t>
            </w:r>
          </w:p>
        </w:tc>
        <w:tc>
          <w:tcPr>
            <w:tcW w:type="dxa" w:w="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~6.5%</w:t>
            </w:r>
          </w:p>
        </w:tc>
      </w:tr>
      <w:tr>
        <w:tc>
          <w:tcPr>
            <w:tcW w:type="dxa" w:w="22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E1 — Post-easing only</w:t>
            </w:r>
          </w:p>
        </w:tc>
        <w:tc>
          <w:tcPr>
            <w:tcW w:type="dxa" w:w="1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IS0</w:t>
            </w:r>
          </w:p>
        </w:tc>
        <w:tc>
          <w:tcPr>
            <w:tcW w:type="dxa" w:w="16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LM1 (eased)</w:t>
            </w:r>
          </w:p>
        </w:tc>
        <w:tc>
          <w:tcPr>
            <w:tcW w:type="dxa" w:w="1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Y1 &gt; Y0</w:t>
            </w:r>
          </w:p>
        </w:tc>
        <w:tc>
          <w:tcPr>
            <w:tcW w:type="dxa" w:w="16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5.25% (lower)</w:t>
            </w:r>
          </w:p>
        </w:tc>
        <w:tc>
          <w:tcPr>
            <w:tcW w:type="dxa" w:w="9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~7.4% (FY26 outturn)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E2 — Base Case FY27</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IS1 (Budget)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LM1 (lagged)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Y2 &gt; Y1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~5.0% (stable)</w:t>
            </w:r>
          </w:p>
        </w:tc>
        <w:tc>
          <w:tcPr>
            <w:tcW w:type="dxa" w:w="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~6.9%</w:t>
            </w:r>
          </w:p>
        </w:tc>
      </w:tr>
      <w:tr>
        <w:tc>
          <w:tcPr>
            <w:tcW w:type="dxa" w:w="22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E2b — Rate Hike Risk</w:t>
            </w:r>
          </w:p>
        </w:tc>
        <w:tc>
          <w:tcPr>
            <w:tcW w:type="dxa" w:w="1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IS1 (Budget)</w:t>
            </w:r>
          </w:p>
        </w:tc>
        <w:tc>
          <w:tcPr>
            <w:tcW w:type="dxa" w:w="16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LM_tight</w:t>
            </w:r>
          </w:p>
        </w:tc>
        <w:tc>
          <w:tcPr>
            <w:tcW w:type="dxa" w:w="1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Y2b &lt; Y2</w:t>
            </w:r>
          </w:p>
        </w:tc>
        <w:tc>
          <w:tcPr>
            <w:tcW w:type="dxa" w:w="16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Rise &gt; 5.25%</w:t>
            </w:r>
          </w:p>
        </w:tc>
        <w:tc>
          <w:tcPr>
            <w:tcW w:type="dxa" w:w="9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~6.0%</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E3 — Oil Reversal Upside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IS1 (Budget)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LM2 (further cut)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Y3 (highest)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~4.5%</w:t>
            </w:r>
          </w:p>
        </w:tc>
        <w:tc>
          <w:tcPr>
            <w:tcW w:type="dxa" w:w="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~7.5%+</w:t>
            </w:r>
          </w:p>
        </w:tc>
      </w:tr>
    </w:tbl>
    <w:p>
      <w:pPr>
        <w:spacing w:after="0" w:before="0"/>
      </w:pPr>
      <w:r>
        <w:t xml:space="preserve"/>
      </w:r>
    </w:p>
    <w:p>
      <w:pPr>
        <w:pStyle w:val="Heading2"/>
      </w:pPr>
      <w:r>
        <w:rPr>
          <w:b/>
          <w:bCs/>
          <w:color w:val="2E75B6"/>
        </w:rPr>
        <w:t xml:space="preserve">6.5  Crowding Out and the Fiscal–Monetary Mix</w:t>
      </w:r>
    </w:p>
    <w:p>
      <w:pPr>
        <w:spacing w:after="120" w:before="80" w:line="276"/>
        <w:jc w:val="both"/>
      </w:pPr>
      <w:r>
        <w:rPr>
          <w:b w:val="false"/>
          <w:bCs w:val="false"/>
          <w:color w:val="000000"/>
          <w:sz w:val="22"/>
          <w:szCs w:val="22"/>
        </w:rPr>
        <w:t xml:space="preserve">A key concern with fiscal expansion is crowding out: higher government borrowing raises interest rates, reducing private investment. In the standard IS-LM model, an IS shift rightward with a fixed LM raises interest rates, partially offsetting the output gain. The government's ₹24.8 lakh crore gross borrowing programme in FY27 creates upward pressure on the 10-year G-sec yield.</w:t>
      </w:r>
    </w:p>
    <w:p>
      <w:pPr>
        <w:spacing w:after="120" w:before="80" w:line="276"/>
        <w:jc w:val="both"/>
      </w:pPr>
      <w:r>
        <w:rPr>
          <w:b w:val="false"/>
          <w:bCs w:val="false"/>
          <w:color w:val="000000"/>
          <w:sz w:val="22"/>
          <w:szCs w:val="22"/>
        </w:rPr>
        <w:t xml:space="preserve">However, three factors moderate crowding out in India's context: first, the RBI retains capacity to conduct OMOs (Open Market Operations) to keep yields anchored, effectively preventing the LM from shifting left; second, the fiscal deficit is declining (4.3% from 4.4%), limiting the incremental borrowing; third, strong FDI and portfolio inflows — supported by the Investment Friendliness Index and improved global integration measures — can fund part of the deficit without crowding out domestic credit.</w:t>
      </w:r>
    </w:p>
    <w:p>
      <w:pPr>
        <w:pBdr>
          <w:bottom w:val="single" w:color="2E75B6" w:sz="8" w:space="2"/>
        </w:pBdr>
        <w:spacing w:after="100" w:before="280"/>
      </w:pPr>
      <w:r>
        <w:rPr>
          <w:b/>
          <w:bCs/>
          <w:caps/>
          <w:color w:val="1F4E79"/>
          <w:sz w:val="26"/>
          <w:szCs w:val="26"/>
        </w:rPr>
        <w:t xml:space="preserve">7. SECTORAL IMPACT ANALYSIS</w:t>
      </w:r>
    </w:p>
    <w:p>
      <w:pPr>
        <w:spacing w:after="120" w:before="80" w:line="276"/>
        <w:jc w:val="both"/>
      </w:pPr>
      <w:r>
        <w:rPr>
          <w:b w:val="false"/>
          <w:bCs w:val="false"/>
          <w:color w:val="000000"/>
          <w:sz w:val="22"/>
          <w:szCs w:val="22"/>
        </w:rPr>
        <w:t xml:space="preserve">The IS and LM shifts transmit through India's real economy via distinct sectoral channels. The following analysis maps the IS-LM effects onto key growth drivers: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660"/>
      </w:tblGrid>
      <w:tr>
        <w:trPr>
          <w:tblHeader/>
        </w:trPr>
        <w:tc>
          <w:tcPr>
            <w:tcW w:type="dxa" w:w="18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Sector</w:t>
            </w:r>
          </w:p>
        </w:tc>
        <w:tc>
          <w:tcPr>
            <w:tcW w:type="dxa" w:w="25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Policy Linkage</w:t>
            </w:r>
          </w:p>
        </w:tc>
        <w:tc>
          <w:tcPr>
            <w:tcW w:type="dxa" w:w="20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IS-LM Channel</w:t>
            </w:r>
          </w:p>
        </w:tc>
        <w:tc>
          <w:tcPr>
            <w:tcW w:type="dxa" w:w="266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Expected Outcome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Infrastructure &amp; Construction</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Capex ₹12.2L cr, Railways 5%, Roads 6% of expenditure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G↑ → IS right (strong multiplier)</w:t>
            </w:r>
          </w:p>
        </w:tc>
        <w:tc>
          <w:tcPr>
            <w:tcW w:type="dxa" w:w="26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Sustained jobs; connectivity boost</w:t>
            </w:r>
          </w:p>
        </w:tc>
      </w:tr>
      <w:tr>
        <w:tc>
          <w:tcPr>
            <w:tcW w:type="dxa" w:w="1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Semiconductors &amp; Electronics</w:t>
            </w:r>
          </w:p>
        </w:tc>
        <w:tc>
          <w:tcPr>
            <w:tcW w:type="dxa" w:w="2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ISM 2.0; Electronics scheme ₹40,000 cr</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Investment (I↑) → IS right</w:t>
            </w:r>
          </w:p>
        </w:tc>
        <w:tc>
          <w:tcPr>
            <w:tcW w:type="dxa" w:w="26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Import substitution; export potential</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MSMEs &amp; Manufacturing</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SME Fund ₹10,000 cr; credit guarantee schemes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Credit access → I↑ → IS right</w:t>
            </w:r>
          </w:p>
        </w:tc>
        <w:tc>
          <w:tcPr>
            <w:tcW w:type="dxa" w:w="26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Job creation; productivity growth</w:t>
            </w:r>
          </w:p>
        </w:tc>
      </w:tr>
      <w:tr>
        <w:tc>
          <w:tcPr>
            <w:tcW w:type="dxa" w:w="1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Biopharma / Healthcare</w:t>
            </w:r>
          </w:p>
        </w:tc>
        <w:tc>
          <w:tcPr>
            <w:tcW w:type="dxa" w:w="2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SHAKTI scheme ₹10,000 cr; medical hubs</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 + FDI catalyst → IS right</w:t>
            </w:r>
          </w:p>
        </w:tc>
        <w:tc>
          <w:tcPr>
            <w:tcW w:type="dxa" w:w="26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High-value services; medical tourism</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Real Estate / Housing</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Lower EMIs from FY26 rate cuts (lagged)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 → I↑ → IS right (private)</w:t>
            </w:r>
          </w:p>
        </w:tc>
        <w:tc>
          <w:tcPr>
            <w:tcW w:type="dxa" w:w="26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Demand recovery; affordable housing</w:t>
            </w:r>
          </w:p>
        </w:tc>
      </w:tr>
      <w:tr>
        <w:tc>
          <w:tcPr>
            <w:tcW w:type="dxa" w:w="1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Consumer Goods / FMCG</w:t>
            </w:r>
          </w:p>
        </w:tc>
        <w:tc>
          <w:tcPr>
            <w:tcW w:type="dxa" w:w="2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Tax relief ₹12.75L; disposable income↑</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 → IS right</w:t>
            </w:r>
          </w:p>
        </w:tc>
        <w:tc>
          <w:tcPr>
            <w:tcW w:type="dxa" w:w="26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Demand revival in middle class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Banking / Financial Services</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Rate hold; credit expansion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LM1 lagged; lending rates lower</w:t>
            </w:r>
          </w:p>
        </w:tc>
        <w:tc>
          <w:tcPr>
            <w:tcW w:type="dxa" w:w="26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Improved NIM compression; credit growth</w:t>
            </w:r>
          </w:p>
        </w:tc>
      </w:tr>
      <w:tr>
        <w:tc>
          <w:tcPr>
            <w:tcW w:type="dxa" w:w="1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Agriculture / Rural</w:t>
            </w:r>
          </w:p>
        </w:tc>
        <w:tc>
          <w:tcPr>
            <w:tcW w:type="dxa" w:w="2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Waterways; rural infra; tribal schemes</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 → IS right (indirect)</w:t>
            </w:r>
          </w:p>
        </w:tc>
        <w:tc>
          <w:tcPr>
            <w:tcW w:type="dxa" w:w="26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Rural income; supply chain gains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Energy / Green Tech</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Carbon capture ₹20,000 cr; EV incentives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G↑ + I catalyst</w:t>
            </w:r>
          </w:p>
        </w:tc>
        <w:tc>
          <w:tcPr>
            <w:tcW w:type="dxa" w:w="26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Long-run supply capacity expansion</w:t>
            </w:r>
          </w:p>
        </w:tc>
      </w:tr>
      <w:tr>
        <w:tc>
          <w:tcPr>
            <w:tcW w:type="dxa" w:w="18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Defence</w:t>
            </w:r>
          </w:p>
        </w:tc>
        <w:tc>
          <w:tcPr>
            <w:tcW w:type="dxa" w:w="2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Ministry allocation ₹7.85L cr (15% of expenditure)</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 → IS right; defence-industrial boost</w:t>
            </w:r>
          </w:p>
        </w:tc>
        <w:tc>
          <w:tcPr>
            <w:tcW w:type="dxa" w:w="26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Strategic capability; domestic mfg</w:t>
            </w:r>
          </w:p>
        </w:tc>
      </w:tr>
    </w:tbl>
    <w:p>
      <w:pPr>
        <w:spacing w:after="0" w:before="0"/>
      </w:pPr>
      <w:r>
        <w:t xml:space="preserve"/>
      </w:r>
    </w:p>
    <w:p>
      <w:pPr>
        <w:pBdr>
          <w:bottom w:val="single" w:color="2E75B6" w:sz="8" w:space="2"/>
        </w:pBdr>
        <w:spacing w:after="100" w:before="280"/>
      </w:pPr>
      <w:r>
        <w:rPr>
          <w:b/>
          <w:bCs/>
          <w:caps/>
          <w:color w:val="1F4E79"/>
          <w:sz w:val="26"/>
          <w:szCs w:val="26"/>
        </w:rPr>
        <w:t xml:space="preserve">8. RISKS, CONSTRAINTS, AND MONITORING INDICATORS</w:t>
      </w:r>
    </w:p>
    <w:p>
      <w:pPr>
        <w:pStyle w:val="Heading2"/>
      </w:pPr>
      <w:r>
        <w:rPr>
          <w:b/>
          <w:bCs/>
          <w:color w:val="2E75B6"/>
        </w:rPr>
        <w:t xml:space="preserve">8.1  Inflationary Supply Shock</w:t>
      </w:r>
    </w:p>
    <w:p>
      <w:pPr>
        <w:spacing w:after="120" w:before="80" w:line="276"/>
        <w:jc w:val="both"/>
      </w:pPr>
      <w:r>
        <w:rPr>
          <w:b w:val="false"/>
          <w:bCs w:val="false"/>
          <w:color w:val="000000"/>
          <w:sz w:val="22"/>
          <w:szCs w:val="22"/>
        </w:rPr>
        <w:t xml:space="preserve">The primary near-term risk to the IS-LM equilibrium is the oil price shock. With Brent crude above $100, imported inflation pressures CPI toward — and potentially beyond — the RBI's 4% target. If headline CPI durably breaches 5%, the RBI would be compelled to shift to a hawkish stance and potentially hike rates, reversing the LM shift. In IS-LM terms, a hawkish LM correction would partially crowd out the fiscal IS expansion, yielding lower output than in the base case and amplifying stagflationary risks.</w:t>
      </w:r>
    </w:p>
    <w:p>
      <w:pPr>
        <w:pStyle w:val="Heading2"/>
      </w:pPr>
      <w:r>
        <w:rPr>
          <w:b/>
          <w:bCs/>
          <w:color w:val="2E75B6"/>
        </w:rPr>
        <w:t xml:space="preserve">8.2  Fiscal Deficit and Debt Sustainability</w:t>
      </w:r>
    </w:p>
    <w:p>
      <w:pPr>
        <w:spacing w:after="120" w:before="80" w:line="276"/>
        <w:jc w:val="both"/>
      </w:pPr>
      <w:r>
        <w:rPr>
          <w:b w:val="false"/>
          <w:bCs w:val="false"/>
          <w:color w:val="000000"/>
          <w:sz w:val="22"/>
          <w:szCs w:val="22"/>
        </w:rPr>
        <w:t xml:space="preserve">While the 4.3% fiscal deficit target represents incremental consolidation, India's central government debt is projected at 55.6% of GDP. The 16th Finance Commission has recommended bringing the deficit below 3.5% of GDP by 2030–31. Fiscal slippage — if capex execution misses targets or disinvestment receipts fall short — could widen the deficit, increase government borrowing, and trigger crowding out. The IS shift's output benefit could be partially negated by a rightward movement in the LM that raises borrowing costs.</w:t>
      </w:r>
    </w:p>
    <w:p>
      <w:pPr>
        <w:pStyle w:val="Heading2"/>
      </w:pPr>
      <w:r>
        <w:rPr>
          <w:b/>
          <w:bCs/>
          <w:color w:val="2E75B6"/>
        </w:rPr>
        <w:t xml:space="preserve">8.3  Rupee and External Sector</w:t>
      </w:r>
    </w:p>
    <w:p>
      <w:pPr>
        <w:spacing w:after="120" w:before="80" w:line="276"/>
        <w:jc w:val="both"/>
      </w:pPr>
      <w:r>
        <w:rPr>
          <w:b w:val="false"/>
          <w:bCs w:val="false"/>
          <w:color w:val="000000"/>
          <w:sz w:val="22"/>
          <w:szCs w:val="22"/>
        </w:rPr>
        <w:t xml:space="preserve">A sustained rupee depreciation (which has hit record lows in March 2026) compounds imported inflation and undermines RBI's ability to cut rates. In an open economy extension of IS-LM (Mundell-Fleming model), rupee weakness can provide an export boost (shifting IS right via NX), but the pass-through to domestic inflation constrains the LM. The net effect depends on India's import intensity — currently elevated by oil.</w:t>
      </w:r>
    </w:p>
    <w:p>
      <w:pPr>
        <w:pStyle w:val="Heading2"/>
      </w:pPr>
      <w:r>
        <w:rPr>
          <w:b/>
          <w:bCs/>
          <w:color w:val="2E75B6"/>
        </w:rPr>
        <w:t xml:space="preserve">8.4  Geopolitical and Trade Risks</w:t>
      </w:r>
    </w:p>
    <w:p>
      <w:pPr>
        <w:spacing w:after="120" w:before="80" w:line="276"/>
        <w:jc w:val="both"/>
      </w:pPr>
      <w:r>
        <w:rPr>
          <w:b w:val="false"/>
          <w:bCs w:val="false"/>
          <w:color w:val="000000"/>
          <w:sz w:val="22"/>
          <w:szCs w:val="22"/>
        </w:rPr>
        <w:t xml:space="preserve">Global trade tensions and US tariff policy continue to pose risks to India's export-oriented sectors. Any deterioration in India-US trade relations — or a broader global slowdown — could reduce net exports (NX), partially offsetting the domestic IS expansion. The Investment Friendliness Index and FDI facilitation measures in Budget 2026 are designed to attract foreign capital that could partly compensate for export headwinds.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060"/>
      </w:tblGrid>
      <w:tr>
        <w:trPr>
          <w:tblHeader/>
        </w:trPr>
        <w:tc>
          <w:tcPr>
            <w:tcW w:type="dxa" w:w="24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Risk</w:t>
            </w:r>
          </w:p>
        </w:tc>
        <w:tc>
          <w:tcPr>
            <w:tcW w:type="dxa" w:w="20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IS-LM Impact</w:t>
            </w:r>
          </w:p>
        </w:tc>
        <w:tc>
          <w:tcPr>
            <w:tcW w:type="dxa" w:w="150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Severity</w:t>
            </w:r>
          </w:p>
        </w:tc>
        <w:tc>
          <w:tcPr>
            <w:tcW w:type="dxa" w:w="3060"/>
            <w:tcBorders>
              <w:top w:val="single" w:color="B8CCE4" w:sz="1"/>
              <w:left w:val="single" w:color="B8CCE4" w:sz="1"/>
              <w:bottom w:val="single" w:color="B8CCE4" w:sz="1"/>
              <w:right w:val="single" w:color="B8CCE4" w:sz="1"/>
            </w:tcBorders>
            <w:shd w:fill="2E75B6" w:val="clear"/>
            <w:tcMar>
              <w:top w:type="dxa" w:w="100"/>
              <w:left w:type="dxa" w:w="140"/>
              <w:bottom w:type="dxa" w:w="100"/>
              <w:right w:type="dxa" w:w="140"/>
            </w:tcMar>
            <w:vAlign w:val="center"/>
          </w:tcPr>
          <w:p>
            <w:pPr>
              <w:jc w:val="center"/>
            </w:pPr>
            <w:r>
              <w:rPr>
                <w:b/>
                <w:bCs/>
                <w:color w:val="FFFFFF"/>
                <w:sz w:val="20"/>
                <w:szCs w:val="20"/>
              </w:rPr>
              <w:t xml:space="preserve">Mitigation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Oil shock / Inflation &gt; 5%</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LM left (rate hike risk)</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High</w:t>
            </w:r>
          </w:p>
        </w:tc>
        <w:tc>
          <w:tcPr>
            <w:tcW w:type="dxa" w:w="30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RBI flexible stance; OMOs</w:t>
            </w:r>
          </w:p>
        </w:tc>
      </w:tr>
      <w:tr>
        <w:tc>
          <w:tcPr>
            <w:tcW w:type="dxa" w:w="2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Fiscal slippage / deficit widening</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IS larger but LM crowding out</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Medium</w:t>
            </w:r>
          </w:p>
        </w:tc>
        <w:tc>
          <w:tcPr>
            <w:tcW w:type="dxa" w:w="30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Capex execution discipline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Rupee depreciation spiral</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Imported inflation → LM left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Medium-High</w:t>
            </w:r>
          </w:p>
        </w:tc>
        <w:tc>
          <w:tcPr>
            <w:tcW w:type="dxa" w:w="30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Forex intervention; current account mgmt</w:t>
            </w:r>
          </w:p>
        </w:tc>
      </w:tr>
      <w:tr>
        <w:tc>
          <w:tcPr>
            <w:tcW w:type="dxa" w:w="24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Global slowdown / tariffs</w:t>
            </w:r>
          </w:p>
        </w:tc>
        <w:tc>
          <w:tcPr>
            <w:tcW w:type="dxa" w:w="20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NX↓ → IS left (partial offset)</w:t>
            </w:r>
          </w:p>
        </w:tc>
        <w:tc>
          <w:tcPr>
            <w:tcW w:type="dxa" w:w="150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Medium</w:t>
            </w:r>
          </w:p>
        </w:tc>
        <w:tc>
          <w:tcPr>
            <w:tcW w:type="dxa" w:w="3060"/>
            <w:tcBorders>
              <w:top w:val="single" w:color="B8CCE4" w:sz="1"/>
              <w:left w:val="single" w:color="B8CCE4" w:sz="1"/>
              <w:bottom w:val="single" w:color="B8CCE4" w:sz="1"/>
              <w:right w:val="single" w:color="B8CCE4" w:sz="1"/>
            </w:tcBorders>
            <w:shd w:fill="EBF3FA" w:val="clear"/>
            <w:tcMar>
              <w:top w:type="dxa" w:w="80"/>
              <w:left w:type="dxa" w:w="140"/>
              <w:bottom w:type="dxa" w:w="80"/>
              <w:right w:type="dxa" w:w="140"/>
            </w:tcMar>
            <w:vAlign w:val="center"/>
          </w:tcPr>
          <w:p>
            <w:pPr>
              <w:jc w:val="center"/>
            </w:pPr>
            <w:r>
              <w:rPr>
                <w:sz w:val="20"/>
                <w:szCs w:val="20"/>
              </w:rPr>
              <w:t xml:space="preserve">FDI; domestic demand focus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Monsoon failure / food inflation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CPI spike → LM left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Low-Medium</w:t>
            </w:r>
          </w:p>
        </w:tc>
        <w:tc>
          <w:tcPr>
            <w:tcW w:type="dxa" w:w="30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sz w:val="20"/>
                <w:szCs w:val="20"/>
              </w:rPr>
              <w:t xml:space="preserve">Buffer stocks; MSP policy</w:t>
            </w:r>
          </w:p>
        </w:tc>
      </w:tr>
    </w:tbl>
    <w:p>
      <w:pPr>
        <w:spacing w:after="0" w:before="0"/>
      </w:pPr>
      <w:r>
        <w:t xml:space="preserve"/>
      </w:r>
    </w:p>
    <w:p>
      <w:pPr>
        <w:pBdr>
          <w:bottom w:val="single" w:color="2E75B6" w:sz="8" w:space="2"/>
        </w:pBdr>
        <w:spacing w:after="100" w:before="280"/>
      </w:pPr>
      <w:r>
        <w:rPr>
          <w:b/>
          <w:bCs/>
          <w:caps/>
          <w:color w:val="1F4E79"/>
          <w:sz w:val="26"/>
          <w:szCs w:val="26"/>
        </w:rPr>
        <w:t xml:space="preserve">9. BROADER IMPLICATIONS: VIKSIT BHARAT AND LONG-RUN SUPPLY</w:t>
      </w:r>
    </w:p>
    <w:p>
      <w:pPr>
        <w:spacing w:after="120" w:before="80" w:line="276"/>
        <w:jc w:val="both"/>
      </w:pPr>
      <w:r>
        <w:rPr>
          <w:b w:val="false"/>
          <w:bCs w:val="false"/>
          <w:color w:val="000000"/>
          <w:sz w:val="22"/>
          <w:szCs w:val="22"/>
        </w:rPr>
        <w:t xml:space="preserve">The Budget 2026–27 policy mix operates on two timescales simultaneously — a demand-side Keynesian stimulus captured by IS-LM in the short run, and a supply-side structural transformation that shifts the Long-Run Aggregate Supply (LRAS) curve over the medium term.</w:t>
      </w:r>
    </w:p>
    <w:p>
      <w:pPr>
        <w:spacing w:after="120" w:before="80" w:line="276"/>
        <w:jc w:val="both"/>
      </w:pPr>
      <w:r>
        <w:rPr>
          <w:b w:val="false"/>
          <w:bCs w:val="false"/>
          <w:color w:val="000000"/>
          <w:sz w:val="22"/>
          <w:szCs w:val="22"/>
        </w:rPr>
        <w:t xml:space="preserve">The IS-LM framework is most applicable to the short-run demand effects: fiscal capex raises G, tax cuts raise C, and SME credit access raises I — all shifting IS rightward. The lagged LM shift from FY26 rate cuts reinforces the output expansion while keeping borrowing costs below FY25 levels.</w:t>
      </w:r>
    </w:p>
    <w:p>
      <w:pPr>
        <w:spacing w:after="120" w:before="80" w:line="276"/>
        <w:jc w:val="both"/>
      </w:pPr>
      <w:r>
        <w:rPr>
          <w:b w:val="false"/>
          <w:bCs w:val="false"/>
          <w:color w:val="000000"/>
          <w:sz w:val="22"/>
          <w:szCs w:val="22"/>
        </w:rPr>
        <w:t xml:space="preserve">Beyond the IS-LM lens, Budget 2026–27's investment in India Semiconductor Mission 2.0, biopharma manufacturing, rare earth corridors, and carbon capture infrastructure represents a decade-long supply-side wager. These initiatives reduce India's import dependence in strategic sectors (semiconductors, critical minerals, biopharma), improve total factor productivity, and create export-oriented high-value manufacturing clusters. In IS-LM terms, this is equivalent to a permanent rightward shift in potential output — raising the economy's non-inflationary growth rate and allowing IS to expand without triggering inflation that would force a LM correction.</w:t>
      </w:r>
    </w:p>
    <w:p>
      <w:pPr>
        <w:spacing w:after="120" w:before="80" w:line="276"/>
        <w:jc w:val="both"/>
      </w:pPr>
      <w:r>
        <w:rPr>
          <w:b w:val="false"/>
          <w:bCs w:val="false"/>
          <w:color w:val="000000"/>
          <w:sz w:val="22"/>
          <w:szCs w:val="22"/>
        </w:rPr>
        <w:t xml:space="preserve">The policy architecture is consistent with the Viksit Bharat 2047 vision: a sequence of demand-side support (IS expansion now) combined with supply-side investment (LRAS rightward over 5–10 years) designed to elevate India's long-run growth trajectory toward 8%+ GDP growth.</w:t>
      </w:r>
    </w:p>
    <w:p>
      <w:pPr>
        <w:pBdr>
          <w:bottom w:val="single" w:color="2E75B6" w:sz="8" w:space="2"/>
        </w:pBdr>
        <w:spacing w:after="100" w:before="280"/>
      </w:pPr>
      <w:r>
        <w:rPr>
          <w:b/>
          <w:bCs/>
          <w:caps/>
          <w:color w:val="1F4E79"/>
          <w:sz w:val="26"/>
          <w:szCs w:val="26"/>
        </w:rPr>
        <w:t xml:space="preserve">10. CONCLUSION</w:t>
      </w:r>
    </w:p>
    <w:p>
      <w:pPr>
        <w:spacing w:after="120" w:before="80" w:line="276"/>
        <w:jc w:val="both"/>
      </w:pPr>
      <w:r>
        <w:rPr>
          <w:b w:val="false"/>
          <w:bCs w:val="false"/>
          <w:color w:val="000000"/>
          <w:sz w:val="22"/>
          <w:szCs w:val="22"/>
        </w:rPr>
        <w:t xml:space="preserve">This report applied the IS-LM framework to analyse India's fiscal and monetary policy mix as embedded in Union Budget 2026–27 and the RBI's evolving monetary stance.</w:t>
      </w:r>
    </w:p>
    <w:p>
      <w:pPr>
        <w:spacing w:after="120" w:before="80" w:line="276"/>
        <w:jc w:val="both"/>
      </w:pPr>
      <w:r>
        <w:rPr>
          <w:b w:val="false"/>
          <w:bCs w:val="false"/>
          <w:color w:val="000000"/>
          <w:sz w:val="22"/>
          <w:szCs w:val="22"/>
        </w:rPr>
        <w:t xml:space="preserve">The fiscal policy in Budget 2026–27 delivers a clear, concurrent rightward shift in the IS curve: ₹12.2 lakh crore in capital expenditure (11.5% growth), income tax relief up to ₹12.75 lakh under the new income tax code, and ₹30,000+ crore in targeted sectoral schemes (semiconductors, biopharma, SMEs). This IS expansion adds approximately 0.5–0.8 percentage points to FY27 output, subject to multiplier estimates.</w:t>
      </w:r>
    </w:p>
    <w:p>
      <w:pPr>
        <w:spacing w:after="120" w:before="80" w:line="276"/>
        <w:jc w:val="both"/>
      </w:pPr>
      <w:r>
        <w:rPr>
          <w:b w:val="false"/>
          <w:bCs w:val="false"/>
          <w:color w:val="000000"/>
          <w:sz w:val="22"/>
          <w:szCs w:val="22"/>
        </w:rPr>
        <w:t xml:space="preserve">The monetary policy operates primarily through a lagged LM channel: the RBI's 125 bps of FY26 rate cuts are still transmitting into lending rates, housing EMIs, and corporate investment decisions. The current monetary pause at 5.25% (neutral stance) means no additional LM shift in FY27, but the accumulated prior easing continues to provide accommodation. The risk of a rate hike — contingent on CPI breaching 5% amid the oil shock — introduces upside risk to interest rates and downside risk to the IS expansion's output gains.</w:t>
      </w:r>
    </w:p>
    <w:p>
      <w:pPr>
        <w:spacing w:after="120" w:before="80" w:line="276"/>
        <w:jc w:val="both"/>
      </w:pPr>
      <w:r>
        <w:rPr>
          <w:b w:val="false"/>
          <w:bCs w:val="false"/>
          <w:color w:val="000000"/>
          <w:sz w:val="22"/>
          <w:szCs w:val="22"/>
        </w:rPr>
        <w:t xml:space="preserve">The base case IS-LM equilibrium for FY27 (Scenario E2) implies GDP growth in the range of 6.5–7.0%, below FY26's 7.4% but above the 2025 slowdown trough. The interaction of a rightward IS with a lagged LM shift supports output growth while keeping interest rates broadly stable, avoiding the crowding-out effect that pure fiscal expansion with tight money would produce.</w:t>
      </w:r>
    </w:p>
    <w:p>
      <w:pPr>
        <w:spacing w:after="120" w:before="80" w:line="276"/>
        <w:jc w:val="both"/>
      </w:pPr>
      <w:r>
        <w:rPr>
          <w:b w:val="false"/>
          <w:bCs w:val="false"/>
          <w:color w:val="000000"/>
          <w:sz w:val="22"/>
          <w:szCs w:val="22"/>
        </w:rPr>
        <w:t xml:space="preserve">Critical risks — oil-driven inflation, rupee pressure, geopolitical trade uncertainty — could shift the LM leftward and undercut the output gains. Conversely, a de-escalation in the West Asia conflict and a return to sub-$80 crude would allow the RBI to resume cutting, driving the economy toward the upside Scenario E3 of 7.5%+ growth. The budget's structural investments in supply-side capacity — semiconductors, biopharma, rare earths, carbon capture — are designed to raise the economy's long-run potential, ensuring that IS expansion does not run into supply constraints or persistent inflation.</w:t>
      </w:r>
    </w:p>
    <w:p>
      <w:pPr>
        <w:spacing w:after="120" w:before="80" w:line="276"/>
        <w:jc w:val="both"/>
      </w:pPr>
      <w:r>
        <w:rPr>
          <w:b w:val="false"/>
          <w:bCs w:val="false"/>
          <w:color w:val="000000"/>
          <w:sz w:val="22"/>
          <w:szCs w:val="22"/>
        </w:rPr>
        <w:t xml:space="preserve">India's FY2026–27 policy mix reflects a mature dual-instrument approach: using fiscal policy to hold aggregate demand during a monetary pause, while maintaining monetary flexibility to resume easing when the oil shock clears. If managed well, this sequencing can deliver sustainable, non-inflationary growth — moving India firmly toward the Viksit Bharat trajectory.</w:t>
      </w:r>
    </w:p>
    <w:p>
      <w:pPr>
        <w:pBdr>
          <w:bottom w:val="single" w:color="2E75B6" w:sz="8" w:space="2"/>
        </w:pBdr>
        <w:spacing w:after="100" w:before="280"/>
      </w:pPr>
      <w:r>
        <w:rPr>
          <w:b/>
          <w:bCs/>
          <w:caps/>
          <w:color w:val="1F4E79"/>
          <w:sz w:val="26"/>
          <w:szCs w:val="26"/>
        </w:rPr>
        <w:t xml:space="preserve">REFERENCES</w:t>
      </w:r>
    </w:p>
    <w:p>
      <w:pPr>
        <w:spacing w:after="80" w:before="60"/>
      </w:pPr>
      <w:r>
        <w:rPr>
          <w:b/>
          <w:bCs/>
          <w:color w:val="1F4E79"/>
          <w:sz w:val="22"/>
          <w:szCs w:val="22"/>
        </w:rPr>
        <w:t xml:space="preserve">Government &amp; RBI Sources</w:t>
      </w:r>
    </w:p>
    <w:p>
      <w:pPr>
        <w:pStyle w:val="ListParagraph"/>
        <w:numPr>
          <w:ilvl w:val="0"/>
          <w:numId w:val="2"/>
        </w:numPr>
        <w:spacing w:after="60" w:before="40" w:line="276"/>
      </w:pPr>
      <w:r>
        <w:rPr>
          <w:sz w:val="22"/>
          <w:szCs w:val="22"/>
        </w:rPr>
        <w:t xml:space="preserve">Ministry of Finance, Government of India. (2026). Union Budget 2026–27: Budget at a Glance, Key Features and Speech. indiabudget.gov.in</w:t>
      </w:r>
    </w:p>
    <w:p>
      <w:pPr>
        <w:pStyle w:val="ListParagraph"/>
        <w:numPr>
          <w:ilvl w:val="0"/>
          <w:numId w:val="2"/>
        </w:numPr>
        <w:spacing w:after="60" w:before="40" w:line="276"/>
      </w:pPr>
      <w:r>
        <w:rPr>
          <w:sz w:val="22"/>
          <w:szCs w:val="22"/>
        </w:rPr>
        <w:t xml:space="preserve">Reserve Bank of India. (2026). Monetary Policy Committee Statements — February, April, June 2026. rbi.org.in</w:t>
      </w:r>
    </w:p>
    <w:p>
      <w:pPr>
        <w:pStyle w:val="ListParagraph"/>
        <w:numPr>
          <w:ilvl w:val="0"/>
          <w:numId w:val="2"/>
        </w:numPr>
        <w:spacing w:after="60" w:before="40" w:line="276"/>
      </w:pPr>
      <w:r>
        <w:rPr>
          <w:sz w:val="22"/>
          <w:szCs w:val="22"/>
        </w:rPr>
        <w:t xml:space="preserve">Press Information Bureau, GoI. (2026). India GDP Growth FY2025–26 Estimated at 7.4%. pib.gov.in</w:t>
      </w:r>
    </w:p>
    <w:p>
      <w:pPr>
        <w:pStyle w:val="ListParagraph"/>
        <w:numPr>
          <w:ilvl w:val="0"/>
          <w:numId w:val="2"/>
        </w:numPr>
        <w:spacing w:after="60" w:before="40" w:line="276"/>
      </w:pPr>
      <w:r>
        <w:rPr>
          <w:sz w:val="22"/>
          <w:szCs w:val="22"/>
        </w:rPr>
        <w:t xml:space="preserve">16th Finance Commission. (2026). Report of the 16th Finance Commission (Chair: Dr. Arvind Panagariya). February 1, 2026.</w:t>
      </w:r>
    </w:p>
    <w:p>
      <w:pPr>
        <w:spacing w:after="0" w:before="0"/>
      </w:pPr>
      <w:r>
        <w:t xml:space="preserve"/>
      </w:r>
    </w:p>
    <w:p>
      <w:pPr>
        <w:spacing w:after="80" w:before="60"/>
      </w:pPr>
      <w:r>
        <w:rPr>
          <w:b/>
          <w:bCs/>
          <w:color w:val="1F4E79"/>
          <w:sz w:val="22"/>
          <w:szCs w:val="22"/>
        </w:rPr>
        <w:t xml:space="preserve">Analysis &amp; Research</w:t>
      </w:r>
    </w:p>
    <w:p>
      <w:pPr>
        <w:pStyle w:val="ListParagraph"/>
        <w:numPr>
          <w:ilvl w:val="0"/>
          <w:numId w:val="2"/>
        </w:numPr>
        <w:spacing w:after="60" w:before="40" w:line="276"/>
      </w:pPr>
      <w:r>
        <w:rPr>
          <w:sz w:val="22"/>
          <w:szCs w:val="22"/>
        </w:rPr>
        <w:t xml:space="preserve">PRS Legislative Research. (2026). Union Budget Analysis 2026–27. prsindia.org</w:t>
      </w:r>
    </w:p>
    <w:p>
      <w:pPr>
        <w:pStyle w:val="ListParagraph"/>
        <w:numPr>
          <w:ilvl w:val="0"/>
          <w:numId w:val="2"/>
        </w:numPr>
        <w:spacing w:after="60" w:before="40" w:line="276"/>
      </w:pPr>
      <w:r>
        <w:rPr>
          <w:sz w:val="22"/>
          <w:szCs w:val="22"/>
        </w:rPr>
        <w:t xml:space="preserve">PwC India. (2026). Union Budget 2026 Insights and Analysis. pwc.in</w:t>
      </w:r>
    </w:p>
    <w:p>
      <w:pPr>
        <w:pStyle w:val="ListParagraph"/>
        <w:numPr>
          <w:ilvl w:val="0"/>
          <w:numId w:val="2"/>
        </w:numPr>
        <w:spacing w:after="60" w:before="40" w:line="276"/>
      </w:pPr>
      <w:r>
        <w:rPr>
          <w:sz w:val="22"/>
          <w:szCs w:val="22"/>
        </w:rPr>
        <w:t xml:space="preserve">Invest India. (2026). India's Union Budget FY 2026–27: Key Highlights. investindia.gov.in</w:t>
      </w:r>
    </w:p>
    <w:p>
      <w:pPr>
        <w:pStyle w:val="ListParagraph"/>
        <w:numPr>
          <w:ilvl w:val="0"/>
          <w:numId w:val="2"/>
        </w:numPr>
        <w:spacing w:after="60" w:before="40" w:line="276"/>
      </w:pPr>
      <w:r>
        <w:rPr>
          <w:sz w:val="22"/>
          <w:szCs w:val="22"/>
        </w:rPr>
        <w:t xml:space="preserve">Angel One / Financial Research. (2026). Union Budget 2026 Highlights: 5-Minute Guide to Fiscal, Tax and Sectoral Measures.</w:t>
      </w:r>
    </w:p>
    <w:p>
      <w:pPr>
        <w:pStyle w:val="ListParagraph"/>
        <w:numPr>
          <w:ilvl w:val="0"/>
          <w:numId w:val="2"/>
        </w:numPr>
        <w:spacing w:after="60" w:before="40" w:line="276"/>
      </w:pPr>
      <w:r>
        <w:rPr>
          <w:sz w:val="22"/>
          <w:szCs w:val="22"/>
        </w:rPr>
        <w:t xml:space="preserve">Finnovate Research. (2026). RBI Repo Rate Unchanged April 2026: FY27 Inflation at 4.6%. finnovate.in</w:t>
      </w:r>
    </w:p>
    <w:p>
      <w:pPr>
        <w:pStyle w:val="ListParagraph"/>
        <w:numPr>
          <w:ilvl w:val="0"/>
          <w:numId w:val="2"/>
        </w:numPr>
        <w:spacing w:after="60" w:before="40" w:line="276"/>
      </w:pPr>
      <w:r>
        <w:rPr>
          <w:sz w:val="22"/>
          <w:szCs w:val="22"/>
        </w:rPr>
        <w:t xml:space="preserve">Trading Economics. (2026). India Interest Rate Historical Data. tradingeconomics.com</w:t>
      </w:r>
    </w:p>
    <w:p>
      <w:pPr>
        <w:spacing w:after="0" w:before="0"/>
      </w:pPr>
      <w:r>
        <w:t xml:space="preserve"/>
      </w:r>
    </w:p>
    <w:p>
      <w:pPr>
        <w:spacing w:after="80" w:before="60"/>
      </w:pPr>
      <w:r>
        <w:rPr>
          <w:b/>
          <w:bCs/>
          <w:color w:val="1F4E79"/>
          <w:sz w:val="22"/>
          <w:szCs w:val="22"/>
        </w:rPr>
        <w:t xml:space="preserve">Theoretical Framework</w:t>
      </w:r>
    </w:p>
    <w:p>
      <w:pPr>
        <w:pStyle w:val="ListParagraph"/>
        <w:numPr>
          <w:ilvl w:val="0"/>
          <w:numId w:val="2"/>
        </w:numPr>
        <w:spacing w:after="60" w:before="40" w:line="276"/>
      </w:pPr>
      <w:r>
        <w:rPr>
          <w:sz w:val="22"/>
          <w:szCs w:val="22"/>
        </w:rPr>
        <w:t xml:space="preserve">Dornbusch, R., Fischer, S., &amp; Startz, R. (2014). Macroeconomics (12th ed.). McGraw-Hill Education.</w:t>
      </w:r>
    </w:p>
    <w:p>
      <w:pPr>
        <w:pStyle w:val="ListParagraph"/>
        <w:numPr>
          <w:ilvl w:val="0"/>
          <w:numId w:val="2"/>
        </w:numPr>
        <w:spacing w:after="60" w:before="40" w:line="276"/>
      </w:pPr>
      <w:r>
        <w:rPr>
          <w:sz w:val="22"/>
          <w:szCs w:val="22"/>
        </w:rPr>
        <w:t xml:space="preserve">Mankiw, N.G. (2019). Macroeconomics (10th ed.). Worth Publishers.</w:t>
      </w:r>
    </w:p>
    <w:p>
      <w:pPr>
        <w:pStyle w:val="ListParagraph"/>
        <w:numPr>
          <w:ilvl w:val="0"/>
          <w:numId w:val="2"/>
        </w:numPr>
        <w:spacing w:after="60" w:before="40" w:line="276"/>
      </w:pPr>
      <w:r>
        <w:rPr>
          <w:sz w:val="22"/>
          <w:szCs w:val="22"/>
        </w:rPr>
        <w:t xml:space="preserve">Blanchard, O. (2021). Macroeconomics (8th ed.). Pearson Education.</w:t>
      </w:r>
    </w:p>
    <w:p>
      <w:pPr>
        <w:pStyle w:val="ListParagraph"/>
        <w:numPr>
          <w:ilvl w:val="0"/>
          <w:numId w:val="2"/>
        </w:numPr>
        <w:spacing w:after="60" w:before="40" w:line="276"/>
      </w:pPr>
      <w:r>
        <w:rPr>
          <w:sz w:val="22"/>
          <w:szCs w:val="22"/>
        </w:rPr>
        <w:t xml:space="preserve">Hicks, J.R. (1937). 'Mr. Keynes and the Classics: A Suggested Interpretation.' Econometrica, 5(2), 147–159.</w:t>
      </w:r>
    </w:p>
    <w:sectPr>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2026-06-25T17:16:09.831Z</dcterms:created>
  <dcterms:modified xsi:type="dcterms:W3CDTF">2026-06-25T17:16:09.831Z</dcterms:modified>
</cp:coreProperties>
</file>

<file path=docProps/custom.xml><?xml version="1.0" encoding="utf-8"?>
<Properties xmlns="http://schemas.openxmlformats.org/officeDocument/2006/custom-properties" xmlns:vt="http://schemas.openxmlformats.org/officeDocument/2006/docPropsVTypes"/>
</file>