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2" w:before="0" w:after="60"/>
        <w:rPr>
          <w:b/>
          <w:bCs/>
          <w:color w:val="595959"/>
          <w:sz w:val="18"/>
          <w:szCs w:val="18"/>
        </w:rPr>
      </w:pPr>
      <w:r>
        <w:rPr/>
        <w:drawing>
          <wp:inline distT="0" distB="0" distL="0" distR="0">
            <wp:extent cx="5682615" cy="3749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5" cy="374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2" w:before="0" w:after="60"/>
        <w:jc w:val="center"/>
        <w:rPr>
          <w:color w:val="595959"/>
          <w:sz w:val="18"/>
          <w:szCs w:val="18"/>
          <w:u w:val="single"/>
        </w:rPr>
      </w:pPr>
      <w:r>
        <w:rPr>
          <w:color w:val="595959"/>
          <w:sz w:val="18"/>
          <w:szCs w:val="18"/>
          <w:u w:val="single"/>
        </w:rPr>
        <w:t xml:space="preserve">Exhibit 1: Listed Indian REITS SNAPSHOT </w:t>
      </w:r>
      <w:r>
        <w:rPr>
          <w:color w:val="595959"/>
          <w:sz w:val="18"/>
          <w:szCs w:val="18"/>
          <w:u w:val="single"/>
        </w:rPr>
        <w:t>(as at June 16, 2026)</w:t>
      </w:r>
    </w:p>
    <w:p>
      <w:pPr>
        <w:pStyle w:val="Normal"/>
        <w:spacing w:lineRule="auto" w:line="252" w:before="0" w:after="60"/>
        <w:jc w:val="center"/>
        <w:rPr>
          <w:b/>
          <w:bCs/>
          <w:color w:val="595959"/>
          <w:sz w:val="18"/>
          <w:szCs w:val="18"/>
        </w:rPr>
      </w:pPr>
      <w:r>
        <w:rPr/>
        <w:drawing>
          <wp:inline distT="0" distB="0" distL="0" distR="0">
            <wp:extent cx="2999105" cy="3983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398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2" w:before="0" w:after="60"/>
        <w:jc w:val="center"/>
        <w:rPr>
          <w:color w:val="595959"/>
          <w:sz w:val="18"/>
          <w:szCs w:val="18"/>
          <w:u w:val="single"/>
        </w:rPr>
      </w:pPr>
      <w:r>
        <w:rPr>
          <w:color w:val="595959"/>
          <w:sz w:val="18"/>
          <w:szCs w:val="18"/>
          <w:u w:val="single"/>
        </w:rPr>
        <w:t>Exhibit 2: Listed Indian REITs Total Area Breakdown</w:t>
      </w:r>
    </w:p>
    <w:p>
      <w:pPr>
        <w:pStyle w:val="Normal"/>
        <w:spacing w:lineRule="auto" w:line="252" w:before="0" w:after="60"/>
        <w:jc w:val="center"/>
        <w:rPr>
          <w:color w:val="595959"/>
          <w:sz w:val="18"/>
          <w:szCs w:val="18"/>
          <w:u w:val="single"/>
        </w:rPr>
      </w:pPr>
      <w:r>
        <w:rPr/>
        <w:drawing>
          <wp:inline distT="0" distB="0" distL="0" distR="0">
            <wp:extent cx="594360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253" r="0" b="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2" w:before="0" w:after="60"/>
        <w:jc w:val="center"/>
        <w:rPr>
          <w:color w:val="595959"/>
          <w:sz w:val="18"/>
          <w:szCs w:val="18"/>
          <w:u w:val="single"/>
        </w:rPr>
      </w:pPr>
      <w:r>
        <w:rPr>
          <w:color w:val="595959"/>
          <w:sz w:val="18"/>
          <w:szCs w:val="18"/>
          <w:u w:val="single"/>
        </w:rPr>
        <w:t>Exhibit 3: Listed Indian REITs Benched vs NIFTY REALTY</w:t>
      </w:r>
    </w:p>
    <w:p>
      <w:pPr>
        <w:pStyle w:val="Normal"/>
        <w:spacing w:lineRule="auto" w:line="252" w:before="0" w:after="60"/>
        <w:rPr>
          <w:b/>
          <w:bCs/>
          <w:color w:val="595959"/>
          <w:sz w:val="18"/>
          <w:szCs w:val="18"/>
        </w:rPr>
      </w:pPr>
      <w:r>
        <w:rPr>
          <w:b/>
          <w:bCs/>
          <w:color w:val="595959"/>
          <w:sz w:val="18"/>
          <w:szCs w:val="18"/>
        </w:rPr>
      </w:r>
    </w:p>
    <w:p>
      <w:pPr>
        <w:pStyle w:val="Normal"/>
        <w:spacing w:lineRule="auto" w:line="252" w:before="0" w:after="60"/>
        <w:rPr>
          <w:b/>
          <w:bCs/>
          <w:color w:val="595959"/>
          <w:sz w:val="18"/>
          <w:szCs w:val="18"/>
        </w:rPr>
      </w:pPr>
      <w:r>
        <w:rPr/>
        <w:drawing>
          <wp:inline distT="0" distB="0" distL="0" distR="0">
            <wp:extent cx="5943600" cy="3559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2" w:before="0" w:after="60"/>
        <w:jc w:val="center"/>
        <w:rPr>
          <w:color w:val="595959"/>
          <w:sz w:val="18"/>
          <w:szCs w:val="18"/>
          <w:u w:val="single"/>
        </w:rPr>
      </w:pPr>
      <w:r>
        <w:rPr>
          <w:color w:val="595959"/>
          <w:sz w:val="18"/>
          <w:szCs w:val="18"/>
          <w:u w:val="single"/>
        </w:rPr>
        <w:t>Exhibit 4: Last 3 YRs Relative Share price Performance of Listed Indian REITs vs Benchmarks</w:t>
      </w:r>
    </w:p>
    <w:p>
      <w:pPr>
        <w:pStyle w:val="Normal"/>
        <w:spacing w:lineRule="auto" w:line="252" w:before="0" w:after="60"/>
        <w:rPr>
          <w:b/>
          <w:bCs/>
          <w:color w:val="595959"/>
          <w:sz w:val="18"/>
          <w:szCs w:val="18"/>
        </w:rPr>
      </w:pPr>
      <w:r>
        <w:rPr/>
        <w:drawing>
          <wp:inline distT="0" distB="0" distL="0" distR="0">
            <wp:extent cx="5943600" cy="3575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2" w:before="0" w:after="60"/>
        <w:jc w:val="center"/>
        <w:rPr>
          <w:color w:val="595959"/>
          <w:sz w:val="18"/>
          <w:szCs w:val="18"/>
          <w:u w:val="single"/>
        </w:rPr>
      </w:pPr>
      <w:r>
        <w:rPr>
          <w:color w:val="595959"/>
          <w:sz w:val="18"/>
          <w:szCs w:val="18"/>
          <w:u w:val="single"/>
        </w:rPr>
        <w:t>Exhibit 5: Last 3 YRs Relative Share price Performance of Listed Indian REITs vs NIFTY 50</w:t>
      </w:r>
    </w:p>
    <w:p>
      <w:pPr>
        <w:pStyle w:val="Normal"/>
        <w:spacing w:lineRule="auto" w:line="252" w:before="0" w:after="60"/>
        <w:rPr>
          <w:b/>
          <w:bCs/>
          <w:color w:val="595959"/>
          <w:sz w:val="18"/>
          <w:szCs w:val="18"/>
        </w:rPr>
      </w:pPr>
      <w:r>
        <w:rPr>
          <w:b/>
          <w:bCs/>
          <w:color w:val="595959"/>
          <w:sz w:val="18"/>
          <w:szCs w:val="18"/>
        </w:rPr>
        <w:t xml:space="preserve">Note: </w:t>
      </w:r>
      <w:r>
        <w:rPr>
          <w:color w:val="595959"/>
          <w:sz w:val="18"/>
          <w:szCs w:val="18"/>
        </w:rPr>
        <w:t>Bagmane REIT &amp; Knowledge Realty Trust have not been included in exhibit 5 due to the recency of their IPOs.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18"/>
          <w:szCs w:val="18"/>
          <w:u w:val="single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11880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  <w:u w:val="single"/>
        </w:rPr>
        <w:t>Exhibit 6: Trading Volume Trajectory REBASED</w:t>
      </w:r>
    </w:p>
    <w:p>
      <w:pPr>
        <w:pStyle w:val="Normal"/>
        <w:jc w:val="center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</w:r>
    </w:p>
    <w:p>
      <w:pPr>
        <w:pStyle w:val="Normal"/>
        <w:jc w:val="center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</w:r>
    </w:p>
    <w:p>
      <w:pPr>
        <w:pStyle w:val="Normal"/>
        <w:jc w:val="center"/>
        <w:rPr>
          <w:sz w:val="18"/>
          <w:szCs w:val="18"/>
          <w:u w:val="single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08070"/>
            <wp:effectExtent l="0" t="0" r="0" b="0"/>
            <wp:wrapSquare wrapText="largest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  <w:u w:val="single"/>
        </w:rPr>
        <w:t>Exhibit 7: 30 day ADTV – Indian REITs benched against NIFTY Realty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35cf"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CA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Application>LibreOffice/26.2.4.2$MacOSX_AARCH64 LibreOffice_project/0229ac93fcf0d7cbc6376066c6f35021cef002dc</Application>
  <AppVersion>15.0000</AppVersion>
  <Pages>4</Pages>
  <Words>97</Words>
  <Characters>479</Characters>
  <CharactersWithSpaces>569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2026-06-25T09:49:00Z</dcterms:created>
  <dc:creator>Ishan Mandlaus</dc:creator>
  <dc:description/>
  <dc:language>en-CA</dc:language>
  <cp:lastModifiedBy/>
  <dcterms:modified xsi:type="dcterms:W3CDTF">2026-07-01T10:19:12Z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