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565C58B"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174CACE2" w14:textId="5CC533E4" w:rsidR="00B11BF0"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B11BF0">
        <w:rPr>
          <w:noProof/>
        </w:rPr>
        <w:t>Part 1.</w:t>
      </w:r>
      <w:r w:rsidR="00B11BF0">
        <w:rPr>
          <w:rFonts w:asciiTheme="minorHAnsi" w:eastAsiaTheme="minorEastAsia" w:hAnsiTheme="minorHAnsi"/>
          <w:noProof/>
          <w:kern w:val="2"/>
          <w:sz w:val="24"/>
          <w:szCs w:val="24"/>
          <w:lang w:eastAsia="en-CA"/>
          <w14:ligatures w14:val="standardContextual"/>
        </w:rPr>
        <w:tab/>
      </w:r>
      <w:r w:rsidR="00B11BF0">
        <w:rPr>
          <w:noProof/>
        </w:rPr>
        <w:t>Charter of Liberty and Security of Freeborn Subjects</w:t>
      </w:r>
      <w:r w:rsidR="00B11BF0">
        <w:rPr>
          <w:noProof/>
        </w:rPr>
        <w:tab/>
      </w:r>
      <w:r w:rsidR="00B11BF0">
        <w:rPr>
          <w:noProof/>
        </w:rPr>
        <w:fldChar w:fldCharType="begin"/>
      </w:r>
      <w:r w:rsidR="00B11BF0">
        <w:rPr>
          <w:noProof/>
        </w:rPr>
        <w:instrText xml:space="preserve"> PAGEREF _Toc176897757 \h </w:instrText>
      </w:r>
      <w:r w:rsidR="00B11BF0">
        <w:rPr>
          <w:noProof/>
        </w:rPr>
      </w:r>
      <w:r w:rsidR="00B11BF0">
        <w:rPr>
          <w:noProof/>
        </w:rPr>
        <w:fldChar w:fldCharType="separate"/>
      </w:r>
      <w:r w:rsidR="00B11BF0">
        <w:rPr>
          <w:noProof/>
        </w:rPr>
        <w:t>6</w:t>
      </w:r>
      <w:r w:rsidR="00B11BF0">
        <w:rPr>
          <w:noProof/>
        </w:rPr>
        <w:fldChar w:fldCharType="end"/>
      </w:r>
    </w:p>
    <w:p w14:paraId="7391100C" w14:textId="19091A4E"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_Toc176897758 \h </w:instrText>
      </w:r>
      <w:r>
        <w:rPr>
          <w:noProof/>
        </w:rPr>
      </w:r>
      <w:r>
        <w:rPr>
          <w:noProof/>
        </w:rPr>
        <w:fldChar w:fldCharType="separate"/>
      </w:r>
      <w:r>
        <w:rPr>
          <w:noProof/>
        </w:rPr>
        <w:t>7</w:t>
      </w:r>
      <w:r>
        <w:rPr>
          <w:noProof/>
        </w:rPr>
        <w:fldChar w:fldCharType="end"/>
      </w:r>
    </w:p>
    <w:p w14:paraId="1F21942C" w14:textId="1D28F3D3"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_Toc176897759 \h </w:instrText>
      </w:r>
      <w:r>
        <w:rPr>
          <w:noProof/>
        </w:rPr>
      </w:r>
      <w:r>
        <w:rPr>
          <w:noProof/>
        </w:rPr>
        <w:fldChar w:fldCharType="separate"/>
      </w:r>
      <w:r>
        <w:rPr>
          <w:noProof/>
        </w:rPr>
        <w:t>7</w:t>
      </w:r>
      <w:r>
        <w:rPr>
          <w:noProof/>
        </w:rPr>
        <w:fldChar w:fldCharType="end"/>
      </w:r>
    </w:p>
    <w:p w14:paraId="663E208B" w14:textId="794D48DC"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_Toc176897760 \h </w:instrText>
      </w:r>
      <w:r>
        <w:rPr>
          <w:noProof/>
        </w:rPr>
      </w:r>
      <w:r>
        <w:rPr>
          <w:noProof/>
        </w:rPr>
        <w:fldChar w:fldCharType="separate"/>
      </w:r>
      <w:r>
        <w:rPr>
          <w:noProof/>
        </w:rPr>
        <w:t>7</w:t>
      </w:r>
      <w:r>
        <w:rPr>
          <w:noProof/>
        </w:rPr>
        <w:fldChar w:fldCharType="end"/>
      </w:r>
    </w:p>
    <w:p w14:paraId="7873560D" w14:textId="1F8AB0FD"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_Toc176897761 \h </w:instrText>
      </w:r>
      <w:r>
        <w:rPr>
          <w:noProof/>
        </w:rPr>
      </w:r>
      <w:r>
        <w:rPr>
          <w:noProof/>
        </w:rPr>
        <w:fldChar w:fldCharType="separate"/>
      </w:r>
      <w:r>
        <w:rPr>
          <w:noProof/>
        </w:rPr>
        <w:t>8</w:t>
      </w:r>
      <w:r>
        <w:rPr>
          <w:noProof/>
        </w:rPr>
        <w:fldChar w:fldCharType="end"/>
      </w:r>
    </w:p>
    <w:p w14:paraId="7BB91D97" w14:textId="7D7E3933"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_Toc176897762 \h </w:instrText>
      </w:r>
      <w:r>
        <w:rPr>
          <w:noProof/>
        </w:rPr>
      </w:r>
      <w:r>
        <w:rPr>
          <w:noProof/>
        </w:rPr>
        <w:fldChar w:fldCharType="separate"/>
      </w:r>
      <w:r>
        <w:rPr>
          <w:noProof/>
        </w:rPr>
        <w:t>8</w:t>
      </w:r>
      <w:r>
        <w:rPr>
          <w:noProof/>
        </w:rPr>
        <w:fldChar w:fldCharType="end"/>
      </w:r>
    </w:p>
    <w:p w14:paraId="07B12737" w14:textId="47455172"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_Toc176897763 \h </w:instrText>
      </w:r>
      <w:r>
        <w:rPr>
          <w:noProof/>
        </w:rPr>
      </w:r>
      <w:r>
        <w:rPr>
          <w:noProof/>
        </w:rPr>
        <w:fldChar w:fldCharType="separate"/>
      </w:r>
      <w:r>
        <w:rPr>
          <w:noProof/>
        </w:rPr>
        <w:t>8</w:t>
      </w:r>
      <w:r>
        <w:rPr>
          <w:noProof/>
        </w:rPr>
        <w:fldChar w:fldCharType="end"/>
      </w:r>
    </w:p>
    <w:p w14:paraId="323A181D" w14:textId="42D6D4C7"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_Toc176897764 \h </w:instrText>
      </w:r>
      <w:r>
        <w:rPr>
          <w:noProof/>
        </w:rPr>
      </w:r>
      <w:r>
        <w:rPr>
          <w:noProof/>
        </w:rPr>
        <w:fldChar w:fldCharType="separate"/>
      </w:r>
      <w:r>
        <w:rPr>
          <w:noProof/>
        </w:rPr>
        <w:t>8</w:t>
      </w:r>
      <w:r>
        <w:rPr>
          <w:noProof/>
        </w:rPr>
        <w:fldChar w:fldCharType="end"/>
      </w:r>
    </w:p>
    <w:p w14:paraId="79BBCDAC" w14:textId="07018FD3"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_Toc176897765 \h </w:instrText>
      </w:r>
      <w:r>
        <w:rPr>
          <w:noProof/>
        </w:rPr>
      </w:r>
      <w:r>
        <w:rPr>
          <w:noProof/>
        </w:rPr>
        <w:fldChar w:fldCharType="separate"/>
      </w:r>
      <w:r>
        <w:rPr>
          <w:noProof/>
        </w:rPr>
        <w:t>8</w:t>
      </w:r>
      <w:r>
        <w:rPr>
          <w:noProof/>
        </w:rPr>
        <w:fldChar w:fldCharType="end"/>
      </w:r>
    </w:p>
    <w:p w14:paraId="34CE4814" w14:textId="39012AFC"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_Toc176897766 \h </w:instrText>
      </w:r>
      <w:r>
        <w:rPr>
          <w:noProof/>
        </w:rPr>
      </w:r>
      <w:r>
        <w:rPr>
          <w:noProof/>
        </w:rPr>
        <w:fldChar w:fldCharType="separate"/>
      </w:r>
      <w:r>
        <w:rPr>
          <w:noProof/>
        </w:rPr>
        <w:t>8</w:t>
      </w:r>
      <w:r>
        <w:rPr>
          <w:noProof/>
        </w:rPr>
        <w:fldChar w:fldCharType="end"/>
      </w:r>
    </w:p>
    <w:p w14:paraId="68B00633" w14:textId="4D839692"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_Toc176897767 \h </w:instrText>
      </w:r>
      <w:r>
        <w:rPr>
          <w:noProof/>
        </w:rPr>
      </w:r>
      <w:r>
        <w:rPr>
          <w:noProof/>
        </w:rPr>
        <w:fldChar w:fldCharType="separate"/>
      </w:r>
      <w:r>
        <w:rPr>
          <w:noProof/>
        </w:rPr>
        <w:t>8</w:t>
      </w:r>
      <w:r>
        <w:rPr>
          <w:noProof/>
        </w:rPr>
        <w:fldChar w:fldCharType="end"/>
      </w:r>
    </w:p>
    <w:p w14:paraId="43EAB1B0" w14:textId="7F692D3A"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_Toc176897768 \h </w:instrText>
      </w:r>
      <w:r>
        <w:rPr>
          <w:noProof/>
        </w:rPr>
      </w:r>
      <w:r>
        <w:rPr>
          <w:noProof/>
        </w:rPr>
        <w:fldChar w:fldCharType="separate"/>
      </w:r>
      <w:r>
        <w:rPr>
          <w:noProof/>
        </w:rPr>
        <w:t>9</w:t>
      </w:r>
      <w:r>
        <w:rPr>
          <w:noProof/>
        </w:rPr>
        <w:fldChar w:fldCharType="end"/>
      </w:r>
    </w:p>
    <w:p w14:paraId="1DAF7AA4" w14:textId="5875E43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_Toc176897769 \h </w:instrText>
      </w:r>
      <w:r>
        <w:rPr>
          <w:noProof/>
        </w:rPr>
      </w:r>
      <w:r>
        <w:rPr>
          <w:noProof/>
        </w:rPr>
        <w:fldChar w:fldCharType="separate"/>
      </w:r>
      <w:r>
        <w:rPr>
          <w:noProof/>
        </w:rPr>
        <w:t>9</w:t>
      </w:r>
      <w:r>
        <w:rPr>
          <w:noProof/>
        </w:rPr>
        <w:fldChar w:fldCharType="end"/>
      </w:r>
    </w:p>
    <w:p w14:paraId="7000A6EA" w14:textId="47B5A6E9"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_Toc176897770 \h </w:instrText>
      </w:r>
      <w:r>
        <w:rPr>
          <w:noProof/>
        </w:rPr>
      </w:r>
      <w:r>
        <w:rPr>
          <w:noProof/>
        </w:rPr>
        <w:fldChar w:fldCharType="separate"/>
      </w:r>
      <w:r>
        <w:rPr>
          <w:noProof/>
        </w:rPr>
        <w:t>9</w:t>
      </w:r>
      <w:r>
        <w:rPr>
          <w:noProof/>
        </w:rPr>
        <w:fldChar w:fldCharType="end"/>
      </w:r>
    </w:p>
    <w:p w14:paraId="641047D5" w14:textId="179C0F7E"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_Toc176897771 \h </w:instrText>
      </w:r>
      <w:r>
        <w:rPr>
          <w:noProof/>
        </w:rPr>
      </w:r>
      <w:r>
        <w:rPr>
          <w:noProof/>
        </w:rPr>
        <w:fldChar w:fldCharType="separate"/>
      </w:r>
      <w:r>
        <w:rPr>
          <w:noProof/>
        </w:rPr>
        <w:t>9</w:t>
      </w:r>
      <w:r>
        <w:rPr>
          <w:noProof/>
        </w:rPr>
        <w:fldChar w:fldCharType="end"/>
      </w:r>
    </w:p>
    <w:p w14:paraId="5FA094B6" w14:textId="267EC26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_Toc176897772 \h </w:instrText>
      </w:r>
      <w:r>
        <w:rPr>
          <w:noProof/>
        </w:rPr>
      </w:r>
      <w:r>
        <w:rPr>
          <w:noProof/>
        </w:rPr>
        <w:fldChar w:fldCharType="separate"/>
      </w:r>
      <w:r>
        <w:rPr>
          <w:noProof/>
        </w:rPr>
        <w:t>9</w:t>
      </w:r>
      <w:r>
        <w:rPr>
          <w:noProof/>
        </w:rPr>
        <w:fldChar w:fldCharType="end"/>
      </w:r>
    </w:p>
    <w:p w14:paraId="2E75FE42" w14:textId="2C68A91D"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_Toc176897773 \h </w:instrText>
      </w:r>
      <w:r>
        <w:rPr>
          <w:noProof/>
        </w:rPr>
      </w:r>
      <w:r>
        <w:rPr>
          <w:noProof/>
        </w:rPr>
        <w:fldChar w:fldCharType="separate"/>
      </w:r>
      <w:r>
        <w:rPr>
          <w:noProof/>
        </w:rPr>
        <w:t>9</w:t>
      </w:r>
      <w:r>
        <w:rPr>
          <w:noProof/>
        </w:rPr>
        <w:fldChar w:fldCharType="end"/>
      </w:r>
    </w:p>
    <w:p w14:paraId="7FA7F247" w14:textId="5D33D2F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_Toc176897774 \h </w:instrText>
      </w:r>
      <w:r>
        <w:rPr>
          <w:noProof/>
        </w:rPr>
      </w:r>
      <w:r>
        <w:rPr>
          <w:noProof/>
        </w:rPr>
        <w:fldChar w:fldCharType="separate"/>
      </w:r>
      <w:r>
        <w:rPr>
          <w:noProof/>
        </w:rPr>
        <w:t>9</w:t>
      </w:r>
      <w:r>
        <w:rPr>
          <w:noProof/>
        </w:rPr>
        <w:fldChar w:fldCharType="end"/>
      </w:r>
    </w:p>
    <w:p w14:paraId="690698DC" w14:textId="37460E4E"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_Toc176897775 \h </w:instrText>
      </w:r>
      <w:r>
        <w:rPr>
          <w:noProof/>
        </w:rPr>
      </w:r>
      <w:r>
        <w:rPr>
          <w:noProof/>
        </w:rPr>
        <w:fldChar w:fldCharType="separate"/>
      </w:r>
      <w:r>
        <w:rPr>
          <w:noProof/>
        </w:rPr>
        <w:t>9</w:t>
      </w:r>
      <w:r>
        <w:rPr>
          <w:noProof/>
        </w:rPr>
        <w:fldChar w:fldCharType="end"/>
      </w:r>
    </w:p>
    <w:p w14:paraId="3D230E8F" w14:textId="5F07E8A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_Toc176897776 \h </w:instrText>
      </w:r>
      <w:r>
        <w:rPr>
          <w:noProof/>
        </w:rPr>
      </w:r>
      <w:r>
        <w:rPr>
          <w:noProof/>
        </w:rPr>
        <w:fldChar w:fldCharType="separate"/>
      </w:r>
      <w:r>
        <w:rPr>
          <w:noProof/>
        </w:rPr>
        <w:t>9</w:t>
      </w:r>
      <w:r>
        <w:rPr>
          <w:noProof/>
        </w:rPr>
        <w:fldChar w:fldCharType="end"/>
      </w:r>
    </w:p>
    <w:p w14:paraId="04F2473D" w14:textId="103FC552"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_Toc176897777 \h </w:instrText>
      </w:r>
      <w:r>
        <w:rPr>
          <w:noProof/>
        </w:rPr>
      </w:r>
      <w:r>
        <w:rPr>
          <w:noProof/>
        </w:rPr>
        <w:fldChar w:fldCharType="separate"/>
      </w:r>
      <w:r>
        <w:rPr>
          <w:noProof/>
        </w:rPr>
        <w:t>10</w:t>
      </w:r>
      <w:r>
        <w:rPr>
          <w:noProof/>
        </w:rPr>
        <w:fldChar w:fldCharType="end"/>
      </w:r>
    </w:p>
    <w:p w14:paraId="5DA3A6FB" w14:textId="68A1B0DC"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_Toc176897778 \h </w:instrText>
      </w:r>
      <w:r>
        <w:rPr>
          <w:noProof/>
        </w:rPr>
      </w:r>
      <w:r>
        <w:rPr>
          <w:noProof/>
        </w:rPr>
        <w:fldChar w:fldCharType="separate"/>
      </w:r>
      <w:r>
        <w:rPr>
          <w:noProof/>
        </w:rPr>
        <w:t>10</w:t>
      </w:r>
      <w:r>
        <w:rPr>
          <w:noProof/>
        </w:rPr>
        <w:fldChar w:fldCharType="end"/>
      </w:r>
    </w:p>
    <w:p w14:paraId="6A49D162" w14:textId="2E8780AE"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_Toc176897779 \h </w:instrText>
      </w:r>
      <w:r>
        <w:rPr>
          <w:noProof/>
        </w:rPr>
      </w:r>
      <w:r>
        <w:rPr>
          <w:noProof/>
        </w:rPr>
        <w:fldChar w:fldCharType="separate"/>
      </w:r>
      <w:r>
        <w:rPr>
          <w:noProof/>
        </w:rPr>
        <w:t>10</w:t>
      </w:r>
      <w:r>
        <w:rPr>
          <w:noProof/>
        </w:rPr>
        <w:fldChar w:fldCharType="end"/>
      </w:r>
    </w:p>
    <w:p w14:paraId="2CF29384" w14:textId="14349576"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_Toc176897780 \h </w:instrText>
      </w:r>
      <w:r>
        <w:rPr>
          <w:noProof/>
        </w:rPr>
      </w:r>
      <w:r>
        <w:rPr>
          <w:noProof/>
        </w:rPr>
        <w:fldChar w:fldCharType="separate"/>
      </w:r>
      <w:r>
        <w:rPr>
          <w:noProof/>
        </w:rPr>
        <w:t>11</w:t>
      </w:r>
      <w:r>
        <w:rPr>
          <w:noProof/>
        </w:rPr>
        <w:fldChar w:fldCharType="end"/>
      </w:r>
    </w:p>
    <w:p w14:paraId="7111EC8B" w14:textId="6156B9E1"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_Toc176897781 \h </w:instrText>
      </w:r>
      <w:r>
        <w:rPr>
          <w:noProof/>
        </w:rPr>
      </w:r>
      <w:r>
        <w:rPr>
          <w:noProof/>
        </w:rPr>
        <w:fldChar w:fldCharType="separate"/>
      </w:r>
      <w:r>
        <w:rPr>
          <w:noProof/>
        </w:rPr>
        <w:t>11</w:t>
      </w:r>
      <w:r>
        <w:rPr>
          <w:noProof/>
        </w:rPr>
        <w:fldChar w:fldCharType="end"/>
      </w:r>
    </w:p>
    <w:p w14:paraId="57AC762C" w14:textId="1AD83E91"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_Toc176897782 \h </w:instrText>
      </w:r>
      <w:r>
        <w:rPr>
          <w:noProof/>
        </w:rPr>
      </w:r>
      <w:r>
        <w:rPr>
          <w:noProof/>
        </w:rPr>
        <w:fldChar w:fldCharType="separate"/>
      </w:r>
      <w:r>
        <w:rPr>
          <w:noProof/>
        </w:rPr>
        <w:t>11</w:t>
      </w:r>
      <w:r>
        <w:rPr>
          <w:noProof/>
        </w:rPr>
        <w:fldChar w:fldCharType="end"/>
      </w:r>
    </w:p>
    <w:p w14:paraId="0E3E628F" w14:textId="56F17F04"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_Toc176897783 \h </w:instrText>
      </w:r>
      <w:r>
        <w:rPr>
          <w:noProof/>
        </w:rPr>
      </w:r>
      <w:r>
        <w:rPr>
          <w:noProof/>
        </w:rPr>
        <w:fldChar w:fldCharType="separate"/>
      </w:r>
      <w:r>
        <w:rPr>
          <w:noProof/>
        </w:rPr>
        <w:t>11</w:t>
      </w:r>
      <w:r>
        <w:rPr>
          <w:noProof/>
        </w:rPr>
        <w:fldChar w:fldCharType="end"/>
      </w:r>
    </w:p>
    <w:p w14:paraId="0A57C2FF" w14:textId="48BECD42"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_Toc176897784 \h </w:instrText>
      </w:r>
      <w:r>
        <w:rPr>
          <w:noProof/>
        </w:rPr>
      </w:r>
      <w:r>
        <w:rPr>
          <w:noProof/>
        </w:rPr>
        <w:fldChar w:fldCharType="separate"/>
      </w:r>
      <w:r>
        <w:rPr>
          <w:noProof/>
        </w:rPr>
        <w:t>11</w:t>
      </w:r>
      <w:r>
        <w:rPr>
          <w:noProof/>
        </w:rPr>
        <w:fldChar w:fldCharType="end"/>
      </w:r>
    </w:p>
    <w:p w14:paraId="63E06935" w14:textId="623DD158"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_Toc176897785 \h </w:instrText>
      </w:r>
      <w:r>
        <w:rPr>
          <w:noProof/>
        </w:rPr>
      </w:r>
      <w:r>
        <w:rPr>
          <w:noProof/>
        </w:rPr>
        <w:fldChar w:fldCharType="separate"/>
      </w:r>
      <w:r>
        <w:rPr>
          <w:noProof/>
        </w:rPr>
        <w:t>12</w:t>
      </w:r>
      <w:r>
        <w:rPr>
          <w:noProof/>
        </w:rPr>
        <w:fldChar w:fldCharType="end"/>
      </w:r>
    </w:p>
    <w:p w14:paraId="3330F56A" w14:textId="25A57653"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_Toc176897786 \h </w:instrText>
      </w:r>
      <w:r>
        <w:rPr>
          <w:noProof/>
        </w:rPr>
      </w:r>
      <w:r>
        <w:rPr>
          <w:noProof/>
        </w:rPr>
        <w:fldChar w:fldCharType="separate"/>
      </w:r>
      <w:r>
        <w:rPr>
          <w:noProof/>
        </w:rPr>
        <w:t>12</w:t>
      </w:r>
      <w:r>
        <w:rPr>
          <w:noProof/>
        </w:rPr>
        <w:fldChar w:fldCharType="end"/>
      </w:r>
    </w:p>
    <w:p w14:paraId="7843B135" w14:textId="1E0D7138"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_Toc176897787 \h </w:instrText>
      </w:r>
      <w:r>
        <w:rPr>
          <w:noProof/>
        </w:rPr>
      </w:r>
      <w:r>
        <w:rPr>
          <w:noProof/>
        </w:rPr>
        <w:fldChar w:fldCharType="separate"/>
      </w:r>
      <w:r>
        <w:rPr>
          <w:noProof/>
        </w:rPr>
        <w:t>12</w:t>
      </w:r>
      <w:r>
        <w:rPr>
          <w:noProof/>
        </w:rPr>
        <w:fldChar w:fldCharType="end"/>
      </w:r>
    </w:p>
    <w:p w14:paraId="57F225F4" w14:textId="331C9254"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_Toc176897788 \h </w:instrText>
      </w:r>
      <w:r>
        <w:rPr>
          <w:noProof/>
        </w:rPr>
      </w:r>
      <w:r>
        <w:rPr>
          <w:noProof/>
        </w:rPr>
        <w:fldChar w:fldCharType="separate"/>
      </w:r>
      <w:r>
        <w:rPr>
          <w:noProof/>
        </w:rPr>
        <w:t>12</w:t>
      </w:r>
      <w:r>
        <w:rPr>
          <w:noProof/>
        </w:rPr>
        <w:fldChar w:fldCharType="end"/>
      </w:r>
    </w:p>
    <w:p w14:paraId="7FA6EA76" w14:textId="6E887D14"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_Toc176897789 \h </w:instrText>
      </w:r>
      <w:r>
        <w:rPr>
          <w:noProof/>
        </w:rPr>
      </w:r>
      <w:r>
        <w:rPr>
          <w:noProof/>
        </w:rPr>
        <w:fldChar w:fldCharType="separate"/>
      </w:r>
      <w:r>
        <w:rPr>
          <w:noProof/>
        </w:rPr>
        <w:t>12</w:t>
      </w:r>
      <w:r>
        <w:rPr>
          <w:noProof/>
        </w:rPr>
        <w:fldChar w:fldCharType="end"/>
      </w:r>
    </w:p>
    <w:p w14:paraId="417DB57E" w14:textId="6234ECBD"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_Toc176897790 \h </w:instrText>
      </w:r>
      <w:r>
        <w:rPr>
          <w:noProof/>
        </w:rPr>
      </w:r>
      <w:r>
        <w:rPr>
          <w:noProof/>
        </w:rPr>
        <w:fldChar w:fldCharType="separate"/>
      </w:r>
      <w:r>
        <w:rPr>
          <w:noProof/>
        </w:rPr>
        <w:t>12</w:t>
      </w:r>
      <w:r>
        <w:rPr>
          <w:noProof/>
        </w:rPr>
        <w:fldChar w:fldCharType="end"/>
      </w:r>
    </w:p>
    <w:p w14:paraId="0EA869BC" w14:textId="4C87B541"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_Toc176897791 \h </w:instrText>
      </w:r>
      <w:r>
        <w:rPr>
          <w:noProof/>
        </w:rPr>
      </w:r>
      <w:r>
        <w:rPr>
          <w:noProof/>
        </w:rPr>
        <w:fldChar w:fldCharType="separate"/>
      </w:r>
      <w:r>
        <w:rPr>
          <w:noProof/>
        </w:rPr>
        <w:t>12</w:t>
      </w:r>
      <w:r>
        <w:rPr>
          <w:noProof/>
        </w:rPr>
        <w:fldChar w:fldCharType="end"/>
      </w:r>
    </w:p>
    <w:p w14:paraId="6DED054B" w14:textId="3A934A4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_Toc176897792 \h </w:instrText>
      </w:r>
      <w:r>
        <w:rPr>
          <w:noProof/>
        </w:rPr>
      </w:r>
      <w:r>
        <w:rPr>
          <w:noProof/>
        </w:rPr>
        <w:fldChar w:fldCharType="separate"/>
      </w:r>
      <w:r>
        <w:rPr>
          <w:noProof/>
        </w:rPr>
        <w:t>12</w:t>
      </w:r>
      <w:r>
        <w:rPr>
          <w:noProof/>
        </w:rPr>
        <w:fldChar w:fldCharType="end"/>
      </w:r>
    </w:p>
    <w:p w14:paraId="38F110B2" w14:textId="3FB827B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_Toc176897793 \h </w:instrText>
      </w:r>
      <w:r>
        <w:rPr>
          <w:noProof/>
        </w:rPr>
      </w:r>
      <w:r>
        <w:rPr>
          <w:noProof/>
        </w:rPr>
        <w:fldChar w:fldCharType="separate"/>
      </w:r>
      <w:r>
        <w:rPr>
          <w:noProof/>
        </w:rPr>
        <w:t>12</w:t>
      </w:r>
      <w:r>
        <w:rPr>
          <w:noProof/>
        </w:rPr>
        <w:fldChar w:fldCharType="end"/>
      </w:r>
    </w:p>
    <w:p w14:paraId="131A5FA6" w14:textId="352ECA1F"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_Toc176897794 \h </w:instrText>
      </w:r>
      <w:r>
        <w:rPr>
          <w:noProof/>
        </w:rPr>
      </w:r>
      <w:r>
        <w:rPr>
          <w:noProof/>
        </w:rPr>
        <w:fldChar w:fldCharType="separate"/>
      </w:r>
      <w:r>
        <w:rPr>
          <w:noProof/>
        </w:rPr>
        <w:t>13</w:t>
      </w:r>
      <w:r>
        <w:rPr>
          <w:noProof/>
        </w:rPr>
        <w:fldChar w:fldCharType="end"/>
      </w:r>
    </w:p>
    <w:p w14:paraId="75D414C1" w14:textId="75FCD84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_Toc176897795 \h </w:instrText>
      </w:r>
      <w:r>
        <w:rPr>
          <w:noProof/>
        </w:rPr>
      </w:r>
      <w:r>
        <w:rPr>
          <w:noProof/>
        </w:rPr>
        <w:fldChar w:fldCharType="separate"/>
      </w:r>
      <w:r>
        <w:rPr>
          <w:noProof/>
        </w:rPr>
        <w:t>13</w:t>
      </w:r>
      <w:r>
        <w:rPr>
          <w:noProof/>
        </w:rPr>
        <w:fldChar w:fldCharType="end"/>
      </w:r>
    </w:p>
    <w:p w14:paraId="642D2BD1" w14:textId="770B0A0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_Toc176897796 \h </w:instrText>
      </w:r>
      <w:r>
        <w:rPr>
          <w:noProof/>
        </w:rPr>
      </w:r>
      <w:r>
        <w:rPr>
          <w:noProof/>
        </w:rPr>
        <w:fldChar w:fldCharType="separate"/>
      </w:r>
      <w:r>
        <w:rPr>
          <w:noProof/>
        </w:rPr>
        <w:t>13</w:t>
      </w:r>
      <w:r>
        <w:rPr>
          <w:noProof/>
        </w:rPr>
        <w:fldChar w:fldCharType="end"/>
      </w:r>
    </w:p>
    <w:p w14:paraId="33F6ECEF" w14:textId="080DC1A2"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_Toc176897797 \h </w:instrText>
      </w:r>
      <w:r>
        <w:rPr>
          <w:noProof/>
        </w:rPr>
      </w:r>
      <w:r>
        <w:rPr>
          <w:noProof/>
        </w:rPr>
        <w:fldChar w:fldCharType="separate"/>
      </w:r>
      <w:r>
        <w:rPr>
          <w:noProof/>
        </w:rPr>
        <w:t>13</w:t>
      </w:r>
      <w:r>
        <w:rPr>
          <w:noProof/>
        </w:rPr>
        <w:fldChar w:fldCharType="end"/>
      </w:r>
    </w:p>
    <w:p w14:paraId="22EC57E8" w14:textId="612C9187"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_Toc176897798 \h </w:instrText>
      </w:r>
      <w:r>
        <w:rPr>
          <w:noProof/>
        </w:rPr>
      </w:r>
      <w:r>
        <w:rPr>
          <w:noProof/>
        </w:rPr>
        <w:fldChar w:fldCharType="separate"/>
      </w:r>
      <w:r>
        <w:rPr>
          <w:noProof/>
        </w:rPr>
        <w:t>13</w:t>
      </w:r>
      <w:r>
        <w:rPr>
          <w:noProof/>
        </w:rPr>
        <w:fldChar w:fldCharType="end"/>
      </w:r>
    </w:p>
    <w:p w14:paraId="5FF512E8" w14:textId="279D8E97"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_Toc176897799 \h </w:instrText>
      </w:r>
      <w:r>
        <w:rPr>
          <w:noProof/>
        </w:rPr>
      </w:r>
      <w:r>
        <w:rPr>
          <w:noProof/>
        </w:rPr>
        <w:fldChar w:fldCharType="separate"/>
      </w:r>
      <w:r>
        <w:rPr>
          <w:noProof/>
        </w:rPr>
        <w:t>13</w:t>
      </w:r>
      <w:r>
        <w:rPr>
          <w:noProof/>
        </w:rPr>
        <w:fldChar w:fldCharType="end"/>
      </w:r>
    </w:p>
    <w:p w14:paraId="57E32DE3" w14:textId="1B71AFD2"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_Toc176897800 \h </w:instrText>
      </w:r>
      <w:r>
        <w:rPr>
          <w:noProof/>
        </w:rPr>
      </w:r>
      <w:r>
        <w:rPr>
          <w:noProof/>
        </w:rPr>
        <w:fldChar w:fldCharType="separate"/>
      </w:r>
      <w:r>
        <w:rPr>
          <w:noProof/>
        </w:rPr>
        <w:t>13</w:t>
      </w:r>
      <w:r>
        <w:rPr>
          <w:noProof/>
        </w:rPr>
        <w:fldChar w:fldCharType="end"/>
      </w:r>
    </w:p>
    <w:p w14:paraId="416454FA" w14:textId="1444E5C1"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_Toc176897801 \h </w:instrText>
      </w:r>
      <w:r>
        <w:rPr>
          <w:noProof/>
        </w:rPr>
      </w:r>
      <w:r>
        <w:rPr>
          <w:noProof/>
        </w:rPr>
        <w:fldChar w:fldCharType="separate"/>
      </w:r>
      <w:r>
        <w:rPr>
          <w:noProof/>
        </w:rPr>
        <w:t>13</w:t>
      </w:r>
      <w:r>
        <w:rPr>
          <w:noProof/>
        </w:rPr>
        <w:fldChar w:fldCharType="end"/>
      </w:r>
    </w:p>
    <w:p w14:paraId="411CC9CC" w14:textId="0BAAE23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_Toc176897802 \h </w:instrText>
      </w:r>
      <w:r>
        <w:rPr>
          <w:noProof/>
        </w:rPr>
      </w:r>
      <w:r>
        <w:rPr>
          <w:noProof/>
        </w:rPr>
        <w:fldChar w:fldCharType="separate"/>
      </w:r>
      <w:r>
        <w:rPr>
          <w:noProof/>
        </w:rPr>
        <w:t>13</w:t>
      </w:r>
      <w:r>
        <w:rPr>
          <w:noProof/>
        </w:rPr>
        <w:fldChar w:fldCharType="end"/>
      </w:r>
    </w:p>
    <w:p w14:paraId="08765BD3" w14:textId="54581AC1"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_Toc176897803 \h </w:instrText>
      </w:r>
      <w:r>
        <w:rPr>
          <w:noProof/>
        </w:rPr>
      </w:r>
      <w:r>
        <w:rPr>
          <w:noProof/>
        </w:rPr>
        <w:fldChar w:fldCharType="separate"/>
      </w:r>
      <w:r>
        <w:rPr>
          <w:noProof/>
        </w:rPr>
        <w:t>14</w:t>
      </w:r>
      <w:r>
        <w:rPr>
          <w:noProof/>
        </w:rPr>
        <w:fldChar w:fldCharType="end"/>
      </w:r>
    </w:p>
    <w:p w14:paraId="3FAD506B" w14:textId="3FBEC81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_Toc176897804 \h </w:instrText>
      </w:r>
      <w:r>
        <w:rPr>
          <w:noProof/>
        </w:rPr>
      </w:r>
      <w:r>
        <w:rPr>
          <w:noProof/>
        </w:rPr>
        <w:fldChar w:fldCharType="separate"/>
      </w:r>
      <w:r>
        <w:rPr>
          <w:noProof/>
        </w:rPr>
        <w:t>14</w:t>
      </w:r>
      <w:r>
        <w:rPr>
          <w:noProof/>
        </w:rPr>
        <w:fldChar w:fldCharType="end"/>
      </w:r>
    </w:p>
    <w:p w14:paraId="76F2FD7F" w14:textId="45CFA85C"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_Toc176897805 \h </w:instrText>
      </w:r>
      <w:r>
        <w:rPr>
          <w:noProof/>
        </w:rPr>
      </w:r>
      <w:r>
        <w:rPr>
          <w:noProof/>
        </w:rPr>
        <w:fldChar w:fldCharType="separate"/>
      </w:r>
      <w:r>
        <w:rPr>
          <w:noProof/>
        </w:rPr>
        <w:t>14</w:t>
      </w:r>
      <w:r>
        <w:rPr>
          <w:noProof/>
        </w:rPr>
        <w:fldChar w:fldCharType="end"/>
      </w:r>
    </w:p>
    <w:p w14:paraId="62F3EF2A" w14:textId="434C9D37"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_Toc176897806 \h </w:instrText>
      </w:r>
      <w:r>
        <w:rPr>
          <w:noProof/>
        </w:rPr>
      </w:r>
      <w:r>
        <w:rPr>
          <w:noProof/>
        </w:rPr>
        <w:fldChar w:fldCharType="separate"/>
      </w:r>
      <w:r>
        <w:rPr>
          <w:noProof/>
        </w:rPr>
        <w:t>14</w:t>
      </w:r>
      <w:r>
        <w:rPr>
          <w:noProof/>
        </w:rPr>
        <w:fldChar w:fldCharType="end"/>
      </w:r>
    </w:p>
    <w:p w14:paraId="432B0C2E" w14:textId="58CFE788"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_Toc176897807 \h </w:instrText>
      </w:r>
      <w:r>
        <w:rPr>
          <w:noProof/>
        </w:rPr>
      </w:r>
      <w:r>
        <w:rPr>
          <w:noProof/>
        </w:rPr>
        <w:fldChar w:fldCharType="separate"/>
      </w:r>
      <w:r>
        <w:rPr>
          <w:noProof/>
        </w:rPr>
        <w:t>15</w:t>
      </w:r>
      <w:r>
        <w:rPr>
          <w:noProof/>
        </w:rPr>
        <w:fldChar w:fldCharType="end"/>
      </w:r>
    </w:p>
    <w:p w14:paraId="657F0618" w14:textId="29BBA415"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_Toc176897808 \h </w:instrText>
      </w:r>
      <w:r>
        <w:rPr>
          <w:noProof/>
        </w:rPr>
      </w:r>
      <w:r>
        <w:rPr>
          <w:noProof/>
        </w:rPr>
        <w:fldChar w:fldCharType="separate"/>
      </w:r>
      <w:r>
        <w:rPr>
          <w:noProof/>
        </w:rPr>
        <w:t>15</w:t>
      </w:r>
      <w:r>
        <w:rPr>
          <w:noProof/>
        </w:rPr>
        <w:fldChar w:fldCharType="end"/>
      </w:r>
    </w:p>
    <w:p w14:paraId="5519A833" w14:textId="15B800B8"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_Toc176897809 \h </w:instrText>
      </w:r>
      <w:r>
        <w:rPr>
          <w:noProof/>
        </w:rPr>
      </w:r>
      <w:r>
        <w:rPr>
          <w:noProof/>
        </w:rPr>
        <w:fldChar w:fldCharType="separate"/>
      </w:r>
      <w:r>
        <w:rPr>
          <w:noProof/>
        </w:rPr>
        <w:t>15</w:t>
      </w:r>
      <w:r>
        <w:rPr>
          <w:noProof/>
        </w:rPr>
        <w:fldChar w:fldCharType="end"/>
      </w:r>
    </w:p>
    <w:p w14:paraId="5456926E" w14:textId="279ABF3C"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_Toc176897810 \h </w:instrText>
      </w:r>
      <w:r>
        <w:rPr>
          <w:noProof/>
        </w:rPr>
      </w:r>
      <w:r>
        <w:rPr>
          <w:noProof/>
        </w:rPr>
        <w:fldChar w:fldCharType="separate"/>
      </w:r>
      <w:r>
        <w:rPr>
          <w:noProof/>
        </w:rPr>
        <w:t>15</w:t>
      </w:r>
      <w:r>
        <w:rPr>
          <w:noProof/>
        </w:rPr>
        <w:fldChar w:fldCharType="end"/>
      </w:r>
    </w:p>
    <w:p w14:paraId="183C6100" w14:textId="210F7AB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_Toc176897811 \h </w:instrText>
      </w:r>
      <w:r>
        <w:rPr>
          <w:noProof/>
        </w:rPr>
      </w:r>
      <w:r>
        <w:rPr>
          <w:noProof/>
        </w:rPr>
        <w:fldChar w:fldCharType="separate"/>
      </w:r>
      <w:r>
        <w:rPr>
          <w:noProof/>
        </w:rPr>
        <w:t>15</w:t>
      </w:r>
      <w:r>
        <w:rPr>
          <w:noProof/>
        </w:rPr>
        <w:fldChar w:fldCharType="end"/>
      </w:r>
    </w:p>
    <w:p w14:paraId="5F620B13" w14:textId="62B82214"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_Toc176897812 \h </w:instrText>
      </w:r>
      <w:r>
        <w:rPr>
          <w:noProof/>
        </w:rPr>
      </w:r>
      <w:r>
        <w:rPr>
          <w:noProof/>
        </w:rPr>
        <w:fldChar w:fldCharType="separate"/>
      </w:r>
      <w:r>
        <w:rPr>
          <w:noProof/>
        </w:rPr>
        <w:t>15</w:t>
      </w:r>
      <w:r>
        <w:rPr>
          <w:noProof/>
        </w:rPr>
        <w:fldChar w:fldCharType="end"/>
      </w:r>
    </w:p>
    <w:p w14:paraId="4F4FBC15" w14:textId="29FAA0A6"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_Toc176897813 \h </w:instrText>
      </w:r>
      <w:r>
        <w:rPr>
          <w:noProof/>
        </w:rPr>
      </w:r>
      <w:r>
        <w:rPr>
          <w:noProof/>
        </w:rPr>
        <w:fldChar w:fldCharType="separate"/>
      </w:r>
      <w:r>
        <w:rPr>
          <w:noProof/>
        </w:rPr>
        <w:t>15</w:t>
      </w:r>
      <w:r>
        <w:rPr>
          <w:noProof/>
        </w:rPr>
        <w:fldChar w:fldCharType="end"/>
      </w:r>
    </w:p>
    <w:p w14:paraId="40EF45D9" w14:textId="04D9C6B1"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_Toc176897814 \h </w:instrText>
      </w:r>
      <w:r>
        <w:rPr>
          <w:noProof/>
        </w:rPr>
      </w:r>
      <w:r>
        <w:rPr>
          <w:noProof/>
        </w:rPr>
        <w:fldChar w:fldCharType="separate"/>
      </w:r>
      <w:r>
        <w:rPr>
          <w:noProof/>
        </w:rPr>
        <w:t>15</w:t>
      </w:r>
      <w:r>
        <w:rPr>
          <w:noProof/>
        </w:rPr>
        <w:fldChar w:fldCharType="end"/>
      </w:r>
    </w:p>
    <w:p w14:paraId="365775F7" w14:textId="41CC5AAF"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_Toc176897815 \h </w:instrText>
      </w:r>
      <w:r>
        <w:rPr>
          <w:noProof/>
        </w:rPr>
      </w:r>
      <w:r>
        <w:rPr>
          <w:noProof/>
        </w:rPr>
        <w:fldChar w:fldCharType="separate"/>
      </w:r>
      <w:r>
        <w:rPr>
          <w:noProof/>
        </w:rPr>
        <w:t>17</w:t>
      </w:r>
      <w:r>
        <w:rPr>
          <w:noProof/>
        </w:rPr>
        <w:fldChar w:fldCharType="end"/>
      </w:r>
    </w:p>
    <w:p w14:paraId="5455604B" w14:textId="0519F7DD"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_Toc176897816 \h </w:instrText>
      </w:r>
      <w:r>
        <w:rPr>
          <w:noProof/>
        </w:rPr>
      </w:r>
      <w:r>
        <w:rPr>
          <w:noProof/>
        </w:rPr>
        <w:fldChar w:fldCharType="separate"/>
      </w:r>
      <w:r>
        <w:rPr>
          <w:noProof/>
        </w:rPr>
        <w:t>17</w:t>
      </w:r>
      <w:r>
        <w:rPr>
          <w:noProof/>
        </w:rPr>
        <w:fldChar w:fldCharType="end"/>
      </w:r>
    </w:p>
    <w:p w14:paraId="6A5BF5BC" w14:textId="358B1B8D"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_Toc176897817 \h </w:instrText>
      </w:r>
      <w:r>
        <w:rPr>
          <w:noProof/>
        </w:rPr>
      </w:r>
      <w:r>
        <w:rPr>
          <w:noProof/>
        </w:rPr>
        <w:fldChar w:fldCharType="separate"/>
      </w:r>
      <w:r>
        <w:rPr>
          <w:noProof/>
        </w:rPr>
        <w:t>17</w:t>
      </w:r>
      <w:r>
        <w:rPr>
          <w:noProof/>
        </w:rPr>
        <w:fldChar w:fldCharType="end"/>
      </w:r>
    </w:p>
    <w:p w14:paraId="64EF1AFD" w14:textId="1BE0B332"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_Toc176897818 \h </w:instrText>
      </w:r>
      <w:r>
        <w:rPr>
          <w:noProof/>
        </w:rPr>
      </w:r>
      <w:r>
        <w:rPr>
          <w:noProof/>
        </w:rPr>
        <w:fldChar w:fldCharType="separate"/>
      </w:r>
      <w:r>
        <w:rPr>
          <w:noProof/>
        </w:rPr>
        <w:t>17</w:t>
      </w:r>
      <w:r>
        <w:rPr>
          <w:noProof/>
        </w:rPr>
        <w:fldChar w:fldCharType="end"/>
      </w:r>
    </w:p>
    <w:p w14:paraId="43EB591E" w14:textId="2518C370"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_Toc176897819 \h </w:instrText>
      </w:r>
      <w:r>
        <w:rPr>
          <w:noProof/>
        </w:rPr>
      </w:r>
      <w:r>
        <w:rPr>
          <w:noProof/>
        </w:rPr>
        <w:fldChar w:fldCharType="separate"/>
      </w:r>
      <w:r>
        <w:rPr>
          <w:noProof/>
        </w:rPr>
        <w:t>17</w:t>
      </w:r>
      <w:r>
        <w:rPr>
          <w:noProof/>
        </w:rPr>
        <w:fldChar w:fldCharType="end"/>
      </w:r>
    </w:p>
    <w:p w14:paraId="36C69B62" w14:textId="188CB6B9"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_Toc176897820 \h </w:instrText>
      </w:r>
      <w:r>
        <w:rPr>
          <w:noProof/>
        </w:rPr>
      </w:r>
      <w:r>
        <w:rPr>
          <w:noProof/>
        </w:rPr>
        <w:fldChar w:fldCharType="separate"/>
      </w:r>
      <w:r>
        <w:rPr>
          <w:noProof/>
        </w:rPr>
        <w:t>17</w:t>
      </w:r>
      <w:r>
        <w:rPr>
          <w:noProof/>
        </w:rPr>
        <w:fldChar w:fldCharType="end"/>
      </w:r>
    </w:p>
    <w:p w14:paraId="7C43BD03" w14:textId="51B64187"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_Toc176897821 \h </w:instrText>
      </w:r>
      <w:r>
        <w:rPr>
          <w:noProof/>
        </w:rPr>
      </w:r>
      <w:r>
        <w:rPr>
          <w:noProof/>
        </w:rPr>
        <w:fldChar w:fldCharType="separate"/>
      </w:r>
      <w:r>
        <w:rPr>
          <w:noProof/>
        </w:rPr>
        <w:t>17</w:t>
      </w:r>
      <w:r>
        <w:rPr>
          <w:noProof/>
        </w:rPr>
        <w:fldChar w:fldCharType="end"/>
      </w:r>
    </w:p>
    <w:p w14:paraId="4DB7280E" w14:textId="3BD37569"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lastRenderedPageBreak/>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_Toc176897822 \h </w:instrText>
      </w:r>
      <w:r>
        <w:rPr>
          <w:noProof/>
        </w:rPr>
      </w:r>
      <w:r>
        <w:rPr>
          <w:noProof/>
        </w:rPr>
        <w:fldChar w:fldCharType="separate"/>
      </w:r>
      <w:r>
        <w:rPr>
          <w:noProof/>
        </w:rPr>
        <w:t>18</w:t>
      </w:r>
      <w:r>
        <w:rPr>
          <w:noProof/>
        </w:rPr>
        <w:fldChar w:fldCharType="end"/>
      </w:r>
    </w:p>
    <w:p w14:paraId="0688869E" w14:textId="40FB4428"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_Toc176897823 \h </w:instrText>
      </w:r>
      <w:r>
        <w:rPr>
          <w:noProof/>
        </w:rPr>
      </w:r>
      <w:r>
        <w:rPr>
          <w:noProof/>
        </w:rPr>
        <w:fldChar w:fldCharType="separate"/>
      </w:r>
      <w:r>
        <w:rPr>
          <w:noProof/>
        </w:rPr>
        <w:t>18</w:t>
      </w:r>
      <w:r>
        <w:rPr>
          <w:noProof/>
        </w:rPr>
        <w:fldChar w:fldCharType="end"/>
      </w:r>
    </w:p>
    <w:p w14:paraId="3EA11398" w14:textId="24C4E686"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_Toc176897824 \h </w:instrText>
      </w:r>
      <w:r>
        <w:rPr>
          <w:noProof/>
        </w:rPr>
      </w:r>
      <w:r>
        <w:rPr>
          <w:noProof/>
        </w:rPr>
        <w:fldChar w:fldCharType="separate"/>
      </w:r>
      <w:r>
        <w:rPr>
          <w:noProof/>
        </w:rPr>
        <w:t>18</w:t>
      </w:r>
      <w:r>
        <w:rPr>
          <w:noProof/>
        </w:rPr>
        <w:fldChar w:fldCharType="end"/>
      </w:r>
    </w:p>
    <w:p w14:paraId="447990E6" w14:textId="4E9F29F8"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_Toc176897825 \h </w:instrText>
      </w:r>
      <w:r>
        <w:rPr>
          <w:noProof/>
        </w:rPr>
      </w:r>
      <w:r>
        <w:rPr>
          <w:noProof/>
        </w:rPr>
        <w:fldChar w:fldCharType="separate"/>
      </w:r>
      <w:r>
        <w:rPr>
          <w:noProof/>
        </w:rPr>
        <w:t>18</w:t>
      </w:r>
      <w:r>
        <w:rPr>
          <w:noProof/>
        </w:rPr>
        <w:fldChar w:fldCharType="end"/>
      </w:r>
    </w:p>
    <w:p w14:paraId="06B8A9DD" w14:textId="4F58F4ED"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_Toc176897826 \h </w:instrText>
      </w:r>
      <w:r>
        <w:rPr>
          <w:noProof/>
        </w:rPr>
      </w:r>
      <w:r>
        <w:rPr>
          <w:noProof/>
        </w:rPr>
        <w:fldChar w:fldCharType="separate"/>
      </w:r>
      <w:r>
        <w:rPr>
          <w:noProof/>
        </w:rPr>
        <w:t>18</w:t>
      </w:r>
      <w:r>
        <w:rPr>
          <w:noProof/>
        </w:rPr>
        <w:fldChar w:fldCharType="end"/>
      </w:r>
    </w:p>
    <w:p w14:paraId="755942BF" w14:textId="0EBAEC38"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_Toc176897827 \h </w:instrText>
      </w:r>
      <w:r>
        <w:rPr>
          <w:noProof/>
        </w:rPr>
      </w:r>
      <w:r>
        <w:rPr>
          <w:noProof/>
        </w:rPr>
        <w:fldChar w:fldCharType="separate"/>
      </w:r>
      <w:r>
        <w:rPr>
          <w:noProof/>
        </w:rPr>
        <w:t>19</w:t>
      </w:r>
      <w:r>
        <w:rPr>
          <w:noProof/>
        </w:rPr>
        <w:fldChar w:fldCharType="end"/>
      </w:r>
    </w:p>
    <w:p w14:paraId="7C6293D1" w14:textId="5B9CE33E"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_Toc176897828 \h </w:instrText>
      </w:r>
      <w:r>
        <w:rPr>
          <w:noProof/>
        </w:rPr>
      </w:r>
      <w:r>
        <w:rPr>
          <w:noProof/>
        </w:rPr>
        <w:fldChar w:fldCharType="separate"/>
      </w:r>
      <w:r>
        <w:rPr>
          <w:noProof/>
        </w:rPr>
        <w:t>19</w:t>
      </w:r>
      <w:r>
        <w:rPr>
          <w:noProof/>
        </w:rPr>
        <w:fldChar w:fldCharType="end"/>
      </w:r>
    </w:p>
    <w:p w14:paraId="6CCDB1A2" w14:textId="76DF0347"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_Toc176897829 \h </w:instrText>
      </w:r>
      <w:r>
        <w:rPr>
          <w:noProof/>
        </w:rPr>
      </w:r>
      <w:r>
        <w:rPr>
          <w:noProof/>
        </w:rPr>
        <w:fldChar w:fldCharType="separate"/>
      </w:r>
      <w:r>
        <w:rPr>
          <w:noProof/>
        </w:rPr>
        <w:t>19</w:t>
      </w:r>
      <w:r>
        <w:rPr>
          <w:noProof/>
        </w:rPr>
        <w:fldChar w:fldCharType="end"/>
      </w:r>
    </w:p>
    <w:p w14:paraId="2A2485AB" w14:textId="116143E9"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_Toc176897830 \h </w:instrText>
      </w:r>
      <w:r>
        <w:rPr>
          <w:noProof/>
        </w:rPr>
      </w:r>
      <w:r>
        <w:rPr>
          <w:noProof/>
        </w:rPr>
        <w:fldChar w:fldCharType="separate"/>
      </w:r>
      <w:r>
        <w:rPr>
          <w:noProof/>
        </w:rPr>
        <w:t>19</w:t>
      </w:r>
      <w:r>
        <w:rPr>
          <w:noProof/>
        </w:rPr>
        <w:fldChar w:fldCharType="end"/>
      </w:r>
    </w:p>
    <w:p w14:paraId="5628C7AA" w14:textId="15F9494F"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_Toc176897831 \h </w:instrText>
      </w:r>
      <w:r>
        <w:rPr>
          <w:noProof/>
        </w:rPr>
      </w:r>
      <w:r>
        <w:rPr>
          <w:noProof/>
        </w:rPr>
        <w:fldChar w:fldCharType="separate"/>
      </w:r>
      <w:r>
        <w:rPr>
          <w:noProof/>
        </w:rPr>
        <w:t>19</w:t>
      </w:r>
      <w:r>
        <w:rPr>
          <w:noProof/>
        </w:rPr>
        <w:fldChar w:fldCharType="end"/>
      </w:r>
    </w:p>
    <w:p w14:paraId="758096BA" w14:textId="6148B984" w:rsidR="00B11BF0" w:rsidRDefault="00B11BF0">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_Toc176897832 \h </w:instrText>
      </w:r>
      <w:r>
        <w:rPr>
          <w:noProof/>
        </w:rPr>
      </w:r>
      <w:r>
        <w:rPr>
          <w:noProof/>
        </w:rPr>
        <w:fldChar w:fldCharType="separate"/>
      </w:r>
      <w:r>
        <w:rPr>
          <w:noProof/>
        </w:rPr>
        <w:t>20</w:t>
      </w:r>
      <w:r>
        <w:rPr>
          <w:noProof/>
        </w:rPr>
        <w:fldChar w:fldCharType="end"/>
      </w:r>
    </w:p>
    <w:p w14:paraId="612352D5" w14:textId="08FFEACB"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_Toc176897833 \h </w:instrText>
      </w:r>
      <w:r>
        <w:rPr>
          <w:noProof/>
        </w:rPr>
      </w:r>
      <w:r>
        <w:rPr>
          <w:noProof/>
        </w:rPr>
        <w:fldChar w:fldCharType="separate"/>
      </w:r>
      <w:r>
        <w:rPr>
          <w:noProof/>
        </w:rPr>
        <w:t>20</w:t>
      </w:r>
      <w:r>
        <w:rPr>
          <w:noProof/>
        </w:rPr>
        <w:fldChar w:fldCharType="end"/>
      </w:r>
    </w:p>
    <w:p w14:paraId="232D998F" w14:textId="02F755F0"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_Toc176897834 \h </w:instrText>
      </w:r>
      <w:r>
        <w:rPr>
          <w:noProof/>
        </w:rPr>
      </w:r>
      <w:r>
        <w:rPr>
          <w:noProof/>
        </w:rPr>
        <w:fldChar w:fldCharType="separate"/>
      </w:r>
      <w:r>
        <w:rPr>
          <w:noProof/>
        </w:rPr>
        <w:t>20</w:t>
      </w:r>
      <w:r>
        <w:rPr>
          <w:noProof/>
        </w:rPr>
        <w:fldChar w:fldCharType="end"/>
      </w:r>
    </w:p>
    <w:p w14:paraId="2768D72C" w14:textId="7EDAC2C0"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_Toc176897835 \h </w:instrText>
      </w:r>
      <w:r>
        <w:rPr>
          <w:noProof/>
        </w:rPr>
      </w:r>
      <w:r>
        <w:rPr>
          <w:noProof/>
        </w:rPr>
        <w:fldChar w:fldCharType="separate"/>
      </w:r>
      <w:r>
        <w:rPr>
          <w:noProof/>
        </w:rPr>
        <w:t>20</w:t>
      </w:r>
      <w:r>
        <w:rPr>
          <w:noProof/>
        </w:rPr>
        <w:fldChar w:fldCharType="end"/>
      </w:r>
    </w:p>
    <w:p w14:paraId="7C136CC0" w14:textId="611DF38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_Toc176897836 \h </w:instrText>
      </w:r>
      <w:r>
        <w:rPr>
          <w:noProof/>
        </w:rPr>
      </w:r>
      <w:r>
        <w:rPr>
          <w:noProof/>
        </w:rPr>
        <w:fldChar w:fldCharType="separate"/>
      </w:r>
      <w:r>
        <w:rPr>
          <w:noProof/>
        </w:rPr>
        <w:t>21</w:t>
      </w:r>
      <w:r>
        <w:rPr>
          <w:noProof/>
        </w:rPr>
        <w:fldChar w:fldCharType="end"/>
      </w:r>
    </w:p>
    <w:p w14:paraId="104003AE" w14:textId="1110AB74"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_Toc176897837 \h </w:instrText>
      </w:r>
      <w:r>
        <w:rPr>
          <w:noProof/>
        </w:rPr>
      </w:r>
      <w:r>
        <w:rPr>
          <w:noProof/>
        </w:rPr>
        <w:fldChar w:fldCharType="separate"/>
      </w:r>
      <w:r>
        <w:rPr>
          <w:noProof/>
        </w:rPr>
        <w:t>21</w:t>
      </w:r>
      <w:r>
        <w:rPr>
          <w:noProof/>
        </w:rPr>
        <w:fldChar w:fldCharType="end"/>
      </w:r>
    </w:p>
    <w:p w14:paraId="02D9DC7E" w14:textId="6480BE34"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_Toc176897838 \h </w:instrText>
      </w:r>
      <w:r>
        <w:rPr>
          <w:noProof/>
        </w:rPr>
      </w:r>
      <w:r>
        <w:rPr>
          <w:noProof/>
        </w:rPr>
        <w:fldChar w:fldCharType="separate"/>
      </w:r>
      <w:r>
        <w:rPr>
          <w:noProof/>
        </w:rPr>
        <w:t>21</w:t>
      </w:r>
      <w:r>
        <w:rPr>
          <w:noProof/>
        </w:rPr>
        <w:fldChar w:fldCharType="end"/>
      </w:r>
    </w:p>
    <w:p w14:paraId="7AEC7CAD" w14:textId="644A23FC"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_Toc176897839 \h </w:instrText>
      </w:r>
      <w:r>
        <w:rPr>
          <w:noProof/>
        </w:rPr>
      </w:r>
      <w:r>
        <w:rPr>
          <w:noProof/>
        </w:rPr>
        <w:fldChar w:fldCharType="separate"/>
      </w:r>
      <w:r>
        <w:rPr>
          <w:noProof/>
        </w:rPr>
        <w:t>21</w:t>
      </w:r>
      <w:r>
        <w:rPr>
          <w:noProof/>
        </w:rPr>
        <w:fldChar w:fldCharType="end"/>
      </w:r>
    </w:p>
    <w:p w14:paraId="5D77EDD0" w14:textId="15C568FC"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_Toc176897840 \h </w:instrText>
      </w:r>
      <w:r>
        <w:rPr>
          <w:noProof/>
        </w:rPr>
      </w:r>
      <w:r>
        <w:rPr>
          <w:noProof/>
        </w:rPr>
        <w:fldChar w:fldCharType="separate"/>
      </w:r>
      <w:r>
        <w:rPr>
          <w:noProof/>
        </w:rPr>
        <w:t>22</w:t>
      </w:r>
      <w:r>
        <w:rPr>
          <w:noProof/>
        </w:rPr>
        <w:fldChar w:fldCharType="end"/>
      </w:r>
    </w:p>
    <w:p w14:paraId="5CEB23CB" w14:textId="7AB6CA56"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_Toc176897841 \h </w:instrText>
      </w:r>
      <w:r>
        <w:rPr>
          <w:noProof/>
        </w:rPr>
      </w:r>
      <w:r>
        <w:rPr>
          <w:noProof/>
        </w:rPr>
        <w:fldChar w:fldCharType="separate"/>
      </w:r>
      <w:r>
        <w:rPr>
          <w:noProof/>
        </w:rPr>
        <w:t>22</w:t>
      </w:r>
      <w:r>
        <w:rPr>
          <w:noProof/>
        </w:rPr>
        <w:fldChar w:fldCharType="end"/>
      </w:r>
    </w:p>
    <w:p w14:paraId="43C91DC7" w14:textId="4014FB15"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_Toc176897842 \h </w:instrText>
      </w:r>
      <w:r>
        <w:rPr>
          <w:noProof/>
        </w:rPr>
      </w:r>
      <w:r>
        <w:rPr>
          <w:noProof/>
        </w:rPr>
        <w:fldChar w:fldCharType="separate"/>
      </w:r>
      <w:r>
        <w:rPr>
          <w:noProof/>
        </w:rPr>
        <w:t>22</w:t>
      </w:r>
      <w:r>
        <w:rPr>
          <w:noProof/>
        </w:rPr>
        <w:fldChar w:fldCharType="end"/>
      </w:r>
    </w:p>
    <w:p w14:paraId="15883EE0" w14:textId="3013008E"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_Toc176897843 \h </w:instrText>
      </w:r>
      <w:r>
        <w:rPr>
          <w:noProof/>
        </w:rPr>
      </w:r>
      <w:r>
        <w:rPr>
          <w:noProof/>
        </w:rPr>
        <w:fldChar w:fldCharType="separate"/>
      </w:r>
      <w:r>
        <w:rPr>
          <w:noProof/>
        </w:rPr>
        <w:t>22</w:t>
      </w:r>
      <w:r>
        <w:rPr>
          <w:noProof/>
        </w:rPr>
        <w:fldChar w:fldCharType="end"/>
      </w:r>
    </w:p>
    <w:p w14:paraId="26E0DA37" w14:textId="243994C1"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_Toc176897844 \h </w:instrText>
      </w:r>
      <w:r>
        <w:rPr>
          <w:noProof/>
        </w:rPr>
      </w:r>
      <w:r>
        <w:rPr>
          <w:noProof/>
        </w:rPr>
        <w:fldChar w:fldCharType="separate"/>
      </w:r>
      <w:r>
        <w:rPr>
          <w:noProof/>
        </w:rPr>
        <w:t>22</w:t>
      </w:r>
      <w:r>
        <w:rPr>
          <w:noProof/>
        </w:rPr>
        <w:fldChar w:fldCharType="end"/>
      </w:r>
    </w:p>
    <w:p w14:paraId="1B20245C" w14:textId="230E75E2"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_Toc176897845 \h </w:instrText>
      </w:r>
      <w:r>
        <w:rPr>
          <w:noProof/>
        </w:rPr>
      </w:r>
      <w:r>
        <w:rPr>
          <w:noProof/>
        </w:rPr>
        <w:fldChar w:fldCharType="separate"/>
      </w:r>
      <w:r>
        <w:rPr>
          <w:noProof/>
        </w:rPr>
        <w:t>22</w:t>
      </w:r>
      <w:r>
        <w:rPr>
          <w:noProof/>
        </w:rPr>
        <w:fldChar w:fldCharType="end"/>
      </w:r>
    </w:p>
    <w:p w14:paraId="3B1F8FA0" w14:textId="5E42E84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Commons prosecution</w:t>
      </w:r>
      <w:r>
        <w:rPr>
          <w:noProof/>
        </w:rPr>
        <w:tab/>
      </w:r>
      <w:r>
        <w:rPr>
          <w:noProof/>
        </w:rPr>
        <w:fldChar w:fldCharType="begin"/>
      </w:r>
      <w:r>
        <w:rPr>
          <w:noProof/>
        </w:rPr>
        <w:instrText xml:space="preserve"> PAGEREF _Toc176897846 \h </w:instrText>
      </w:r>
      <w:r>
        <w:rPr>
          <w:noProof/>
        </w:rPr>
      </w:r>
      <w:r>
        <w:rPr>
          <w:noProof/>
        </w:rPr>
        <w:fldChar w:fldCharType="separate"/>
      </w:r>
      <w:r>
        <w:rPr>
          <w:noProof/>
        </w:rPr>
        <w:t>23</w:t>
      </w:r>
      <w:r>
        <w:rPr>
          <w:noProof/>
        </w:rPr>
        <w:fldChar w:fldCharType="end"/>
      </w:r>
    </w:p>
    <w:p w14:paraId="44D5BB6D" w14:textId="211A53A6"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_Toc176897847 \h </w:instrText>
      </w:r>
      <w:r>
        <w:rPr>
          <w:noProof/>
        </w:rPr>
      </w:r>
      <w:r>
        <w:rPr>
          <w:noProof/>
        </w:rPr>
        <w:fldChar w:fldCharType="separate"/>
      </w:r>
      <w:r>
        <w:rPr>
          <w:noProof/>
        </w:rPr>
        <w:t>23</w:t>
      </w:r>
      <w:r>
        <w:rPr>
          <w:noProof/>
        </w:rPr>
        <w:fldChar w:fldCharType="end"/>
      </w:r>
    </w:p>
    <w:p w14:paraId="56841751" w14:textId="049DC949"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_Toc176897848 \h </w:instrText>
      </w:r>
      <w:r>
        <w:rPr>
          <w:noProof/>
        </w:rPr>
      </w:r>
      <w:r>
        <w:rPr>
          <w:noProof/>
        </w:rPr>
        <w:fldChar w:fldCharType="separate"/>
      </w:r>
      <w:r>
        <w:rPr>
          <w:noProof/>
        </w:rPr>
        <w:t>24</w:t>
      </w:r>
      <w:r>
        <w:rPr>
          <w:noProof/>
        </w:rPr>
        <w:fldChar w:fldCharType="end"/>
      </w:r>
    </w:p>
    <w:p w14:paraId="247F6CA6" w14:textId="593505E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_Toc176897849 \h </w:instrText>
      </w:r>
      <w:r>
        <w:rPr>
          <w:noProof/>
        </w:rPr>
      </w:r>
      <w:r>
        <w:rPr>
          <w:noProof/>
        </w:rPr>
        <w:fldChar w:fldCharType="separate"/>
      </w:r>
      <w:r>
        <w:rPr>
          <w:noProof/>
        </w:rPr>
        <w:t>24</w:t>
      </w:r>
      <w:r>
        <w:rPr>
          <w:noProof/>
        </w:rPr>
        <w:fldChar w:fldCharType="end"/>
      </w:r>
    </w:p>
    <w:p w14:paraId="4777D733" w14:textId="32BD875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_Toc176897850 \h </w:instrText>
      </w:r>
      <w:r>
        <w:rPr>
          <w:noProof/>
        </w:rPr>
      </w:r>
      <w:r>
        <w:rPr>
          <w:noProof/>
        </w:rPr>
        <w:fldChar w:fldCharType="separate"/>
      </w:r>
      <w:r>
        <w:rPr>
          <w:noProof/>
        </w:rPr>
        <w:t>24</w:t>
      </w:r>
      <w:r>
        <w:rPr>
          <w:noProof/>
        </w:rPr>
        <w:fldChar w:fldCharType="end"/>
      </w:r>
    </w:p>
    <w:p w14:paraId="5B879086" w14:textId="4D9EC9DF"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_Toc176897851 \h </w:instrText>
      </w:r>
      <w:r>
        <w:rPr>
          <w:noProof/>
        </w:rPr>
      </w:r>
      <w:r>
        <w:rPr>
          <w:noProof/>
        </w:rPr>
        <w:fldChar w:fldCharType="separate"/>
      </w:r>
      <w:r>
        <w:rPr>
          <w:noProof/>
        </w:rPr>
        <w:t>26</w:t>
      </w:r>
      <w:r>
        <w:rPr>
          <w:noProof/>
        </w:rPr>
        <w:fldChar w:fldCharType="end"/>
      </w:r>
    </w:p>
    <w:p w14:paraId="7AC04C14" w14:textId="34AC5F1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_Toc176897852 \h </w:instrText>
      </w:r>
      <w:r>
        <w:rPr>
          <w:noProof/>
        </w:rPr>
      </w:r>
      <w:r>
        <w:rPr>
          <w:noProof/>
        </w:rPr>
        <w:fldChar w:fldCharType="separate"/>
      </w:r>
      <w:r>
        <w:rPr>
          <w:noProof/>
        </w:rPr>
        <w:t>26</w:t>
      </w:r>
      <w:r>
        <w:rPr>
          <w:noProof/>
        </w:rPr>
        <w:fldChar w:fldCharType="end"/>
      </w:r>
    </w:p>
    <w:p w14:paraId="3E338E95" w14:textId="49673E59"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_Toc176897853 \h </w:instrText>
      </w:r>
      <w:r>
        <w:rPr>
          <w:noProof/>
        </w:rPr>
      </w:r>
      <w:r>
        <w:rPr>
          <w:noProof/>
        </w:rPr>
        <w:fldChar w:fldCharType="separate"/>
      </w:r>
      <w:r>
        <w:rPr>
          <w:noProof/>
        </w:rPr>
        <w:t>26</w:t>
      </w:r>
      <w:r>
        <w:rPr>
          <w:noProof/>
        </w:rPr>
        <w:fldChar w:fldCharType="end"/>
      </w:r>
    </w:p>
    <w:p w14:paraId="5AF1B295" w14:textId="1AA3240C"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_Toc176897854 \h </w:instrText>
      </w:r>
      <w:r>
        <w:rPr>
          <w:noProof/>
        </w:rPr>
      </w:r>
      <w:r>
        <w:rPr>
          <w:noProof/>
        </w:rPr>
        <w:fldChar w:fldCharType="separate"/>
      </w:r>
      <w:r>
        <w:rPr>
          <w:noProof/>
        </w:rPr>
        <w:t>27</w:t>
      </w:r>
      <w:r>
        <w:rPr>
          <w:noProof/>
        </w:rPr>
        <w:fldChar w:fldCharType="end"/>
      </w:r>
    </w:p>
    <w:p w14:paraId="055CF0C6" w14:textId="02080FE1"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_Toc176897855 \h </w:instrText>
      </w:r>
      <w:r>
        <w:rPr>
          <w:noProof/>
        </w:rPr>
      </w:r>
      <w:r>
        <w:rPr>
          <w:noProof/>
        </w:rPr>
        <w:fldChar w:fldCharType="separate"/>
      </w:r>
      <w:r>
        <w:rPr>
          <w:noProof/>
        </w:rPr>
        <w:t>27</w:t>
      </w:r>
      <w:r>
        <w:rPr>
          <w:noProof/>
        </w:rPr>
        <w:fldChar w:fldCharType="end"/>
      </w:r>
    </w:p>
    <w:p w14:paraId="598D8BF5" w14:textId="735E44D8"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_Toc176897856 \h </w:instrText>
      </w:r>
      <w:r>
        <w:rPr>
          <w:noProof/>
        </w:rPr>
      </w:r>
      <w:r>
        <w:rPr>
          <w:noProof/>
        </w:rPr>
        <w:fldChar w:fldCharType="separate"/>
      </w:r>
      <w:r>
        <w:rPr>
          <w:noProof/>
        </w:rPr>
        <w:t>27</w:t>
      </w:r>
      <w:r>
        <w:rPr>
          <w:noProof/>
        </w:rPr>
        <w:fldChar w:fldCharType="end"/>
      </w:r>
    </w:p>
    <w:p w14:paraId="263F2067" w14:textId="4CB9B329"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_Toc176897857 \h </w:instrText>
      </w:r>
      <w:r>
        <w:rPr>
          <w:noProof/>
        </w:rPr>
      </w:r>
      <w:r>
        <w:rPr>
          <w:noProof/>
        </w:rPr>
        <w:fldChar w:fldCharType="separate"/>
      </w:r>
      <w:r>
        <w:rPr>
          <w:noProof/>
        </w:rPr>
        <w:t>27</w:t>
      </w:r>
      <w:r>
        <w:rPr>
          <w:noProof/>
        </w:rPr>
        <w:fldChar w:fldCharType="end"/>
      </w:r>
    </w:p>
    <w:p w14:paraId="5ECAE68F" w14:textId="1395AC0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_Toc176897858 \h </w:instrText>
      </w:r>
      <w:r>
        <w:rPr>
          <w:noProof/>
        </w:rPr>
      </w:r>
      <w:r>
        <w:rPr>
          <w:noProof/>
        </w:rPr>
        <w:fldChar w:fldCharType="separate"/>
      </w:r>
      <w:r>
        <w:rPr>
          <w:noProof/>
        </w:rPr>
        <w:t>27</w:t>
      </w:r>
      <w:r>
        <w:rPr>
          <w:noProof/>
        </w:rPr>
        <w:fldChar w:fldCharType="end"/>
      </w:r>
    </w:p>
    <w:p w14:paraId="28FBDF4E" w14:textId="1BA1EDB8"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_Toc176897859 \h </w:instrText>
      </w:r>
      <w:r>
        <w:rPr>
          <w:noProof/>
        </w:rPr>
      </w:r>
      <w:r>
        <w:rPr>
          <w:noProof/>
        </w:rPr>
        <w:fldChar w:fldCharType="separate"/>
      </w:r>
      <w:r>
        <w:rPr>
          <w:noProof/>
        </w:rPr>
        <w:t>28</w:t>
      </w:r>
      <w:r>
        <w:rPr>
          <w:noProof/>
        </w:rPr>
        <w:fldChar w:fldCharType="end"/>
      </w:r>
    </w:p>
    <w:p w14:paraId="61B287A1" w14:textId="62E9EF51"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_Toc176897860 \h </w:instrText>
      </w:r>
      <w:r>
        <w:rPr>
          <w:noProof/>
        </w:rPr>
      </w:r>
      <w:r>
        <w:rPr>
          <w:noProof/>
        </w:rPr>
        <w:fldChar w:fldCharType="separate"/>
      </w:r>
      <w:r>
        <w:rPr>
          <w:noProof/>
        </w:rPr>
        <w:t>28</w:t>
      </w:r>
      <w:r>
        <w:rPr>
          <w:noProof/>
        </w:rPr>
        <w:fldChar w:fldCharType="end"/>
      </w:r>
    </w:p>
    <w:p w14:paraId="190A1298" w14:textId="5392D677"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_Toc176897861 \h </w:instrText>
      </w:r>
      <w:r>
        <w:rPr>
          <w:noProof/>
        </w:rPr>
      </w:r>
      <w:r>
        <w:rPr>
          <w:noProof/>
        </w:rPr>
        <w:fldChar w:fldCharType="separate"/>
      </w:r>
      <w:r>
        <w:rPr>
          <w:noProof/>
        </w:rPr>
        <w:t>29</w:t>
      </w:r>
      <w:r>
        <w:rPr>
          <w:noProof/>
        </w:rPr>
        <w:fldChar w:fldCharType="end"/>
      </w:r>
    </w:p>
    <w:p w14:paraId="3278024C" w14:textId="0D23D5E8"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_Toc176897862 \h </w:instrText>
      </w:r>
      <w:r>
        <w:rPr>
          <w:noProof/>
        </w:rPr>
      </w:r>
      <w:r>
        <w:rPr>
          <w:noProof/>
        </w:rPr>
        <w:fldChar w:fldCharType="separate"/>
      </w:r>
      <w:r>
        <w:rPr>
          <w:noProof/>
        </w:rPr>
        <w:t>29</w:t>
      </w:r>
      <w:r>
        <w:rPr>
          <w:noProof/>
        </w:rPr>
        <w:fldChar w:fldCharType="end"/>
      </w:r>
    </w:p>
    <w:p w14:paraId="40FCF679" w14:textId="324FDD9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_Toc176897863 \h </w:instrText>
      </w:r>
      <w:r>
        <w:rPr>
          <w:noProof/>
        </w:rPr>
      </w:r>
      <w:r>
        <w:rPr>
          <w:noProof/>
        </w:rPr>
        <w:fldChar w:fldCharType="separate"/>
      </w:r>
      <w:r>
        <w:rPr>
          <w:noProof/>
        </w:rPr>
        <w:t>29</w:t>
      </w:r>
      <w:r>
        <w:rPr>
          <w:noProof/>
        </w:rPr>
        <w:fldChar w:fldCharType="end"/>
      </w:r>
    </w:p>
    <w:p w14:paraId="43886A21" w14:textId="61E258A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Parliamentary Supremacy</w:t>
      </w:r>
      <w:r>
        <w:rPr>
          <w:noProof/>
        </w:rPr>
        <w:tab/>
      </w:r>
      <w:r>
        <w:rPr>
          <w:noProof/>
        </w:rPr>
        <w:fldChar w:fldCharType="begin"/>
      </w:r>
      <w:r>
        <w:rPr>
          <w:noProof/>
        </w:rPr>
        <w:instrText xml:space="preserve"> PAGEREF _Toc176897864 \h </w:instrText>
      </w:r>
      <w:r>
        <w:rPr>
          <w:noProof/>
        </w:rPr>
      </w:r>
      <w:r>
        <w:rPr>
          <w:noProof/>
        </w:rPr>
        <w:fldChar w:fldCharType="separate"/>
      </w:r>
      <w:r>
        <w:rPr>
          <w:noProof/>
        </w:rPr>
        <w:t>29</w:t>
      </w:r>
      <w:r>
        <w:rPr>
          <w:noProof/>
        </w:rPr>
        <w:fldChar w:fldCharType="end"/>
      </w:r>
    </w:p>
    <w:p w14:paraId="635C5C96" w14:textId="345E06E2"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_Toc176897865 \h </w:instrText>
      </w:r>
      <w:r>
        <w:rPr>
          <w:noProof/>
        </w:rPr>
      </w:r>
      <w:r>
        <w:rPr>
          <w:noProof/>
        </w:rPr>
        <w:fldChar w:fldCharType="separate"/>
      </w:r>
      <w:r>
        <w:rPr>
          <w:noProof/>
        </w:rPr>
        <w:t>29</w:t>
      </w:r>
      <w:r>
        <w:rPr>
          <w:noProof/>
        </w:rPr>
        <w:fldChar w:fldCharType="end"/>
      </w:r>
    </w:p>
    <w:p w14:paraId="6958D635" w14:textId="5532F069"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_Toc176897866 \h </w:instrText>
      </w:r>
      <w:r>
        <w:rPr>
          <w:noProof/>
        </w:rPr>
      </w:r>
      <w:r>
        <w:rPr>
          <w:noProof/>
        </w:rPr>
        <w:fldChar w:fldCharType="separate"/>
      </w:r>
      <w:r>
        <w:rPr>
          <w:noProof/>
        </w:rPr>
        <w:t>29</w:t>
      </w:r>
      <w:r>
        <w:rPr>
          <w:noProof/>
        </w:rPr>
        <w:fldChar w:fldCharType="end"/>
      </w:r>
    </w:p>
    <w:p w14:paraId="101EA8CA" w14:textId="3AF6AC53"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Juries</w:t>
      </w:r>
      <w:r>
        <w:rPr>
          <w:noProof/>
        </w:rPr>
        <w:tab/>
      </w:r>
      <w:r>
        <w:rPr>
          <w:noProof/>
        </w:rPr>
        <w:fldChar w:fldCharType="begin"/>
      </w:r>
      <w:r>
        <w:rPr>
          <w:noProof/>
        </w:rPr>
        <w:instrText xml:space="preserve"> PAGEREF _Toc176897867 \h </w:instrText>
      </w:r>
      <w:r>
        <w:rPr>
          <w:noProof/>
        </w:rPr>
      </w:r>
      <w:r>
        <w:rPr>
          <w:noProof/>
        </w:rPr>
        <w:fldChar w:fldCharType="separate"/>
      </w:r>
      <w:r>
        <w:rPr>
          <w:noProof/>
        </w:rPr>
        <w:t>29</w:t>
      </w:r>
      <w:r>
        <w:rPr>
          <w:noProof/>
        </w:rPr>
        <w:fldChar w:fldCharType="end"/>
      </w:r>
    </w:p>
    <w:p w14:paraId="033E18B1" w14:textId="6672553B"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Grand Juries and Juries of Inquest</w:t>
      </w:r>
      <w:r>
        <w:rPr>
          <w:noProof/>
        </w:rPr>
        <w:tab/>
      </w:r>
      <w:r>
        <w:rPr>
          <w:noProof/>
        </w:rPr>
        <w:fldChar w:fldCharType="begin"/>
      </w:r>
      <w:r>
        <w:rPr>
          <w:noProof/>
        </w:rPr>
        <w:instrText xml:space="preserve"> PAGEREF _Toc176897868 \h </w:instrText>
      </w:r>
      <w:r>
        <w:rPr>
          <w:noProof/>
        </w:rPr>
      </w:r>
      <w:r>
        <w:rPr>
          <w:noProof/>
        </w:rPr>
        <w:fldChar w:fldCharType="separate"/>
      </w:r>
      <w:r>
        <w:rPr>
          <w:noProof/>
        </w:rPr>
        <w:t>30</w:t>
      </w:r>
      <w:r>
        <w:rPr>
          <w:noProof/>
        </w:rPr>
        <w:fldChar w:fldCharType="end"/>
      </w:r>
    </w:p>
    <w:p w14:paraId="0045E079" w14:textId="6B4F3466"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_Toc176897869 \h </w:instrText>
      </w:r>
      <w:r>
        <w:rPr>
          <w:noProof/>
        </w:rPr>
      </w:r>
      <w:r>
        <w:rPr>
          <w:noProof/>
        </w:rPr>
        <w:fldChar w:fldCharType="separate"/>
      </w:r>
      <w:r>
        <w:rPr>
          <w:noProof/>
        </w:rPr>
        <w:t>30</w:t>
      </w:r>
      <w:r>
        <w:rPr>
          <w:noProof/>
        </w:rPr>
        <w:fldChar w:fldCharType="end"/>
      </w:r>
    </w:p>
    <w:p w14:paraId="13C12ED8" w14:textId="5AE1D735"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_Toc176897870 \h </w:instrText>
      </w:r>
      <w:r>
        <w:rPr>
          <w:noProof/>
        </w:rPr>
      </w:r>
      <w:r>
        <w:rPr>
          <w:noProof/>
        </w:rPr>
        <w:fldChar w:fldCharType="separate"/>
      </w:r>
      <w:r>
        <w:rPr>
          <w:noProof/>
        </w:rPr>
        <w:t>31</w:t>
      </w:r>
      <w:r>
        <w:rPr>
          <w:noProof/>
        </w:rPr>
        <w:fldChar w:fldCharType="end"/>
      </w:r>
    </w:p>
    <w:p w14:paraId="752ED75F" w14:textId="7697F6F9"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_Toc176897871 \h </w:instrText>
      </w:r>
      <w:r>
        <w:rPr>
          <w:noProof/>
        </w:rPr>
      </w:r>
      <w:r>
        <w:rPr>
          <w:noProof/>
        </w:rPr>
        <w:fldChar w:fldCharType="separate"/>
      </w:r>
      <w:r>
        <w:rPr>
          <w:noProof/>
        </w:rPr>
        <w:t>31</w:t>
      </w:r>
      <w:r>
        <w:rPr>
          <w:noProof/>
        </w:rPr>
        <w:fldChar w:fldCharType="end"/>
      </w:r>
    </w:p>
    <w:p w14:paraId="21094F53" w14:textId="3BE5F5C3"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_Toc176897872 \h </w:instrText>
      </w:r>
      <w:r>
        <w:rPr>
          <w:noProof/>
        </w:rPr>
      </w:r>
      <w:r>
        <w:rPr>
          <w:noProof/>
        </w:rPr>
        <w:fldChar w:fldCharType="separate"/>
      </w:r>
      <w:r>
        <w:rPr>
          <w:noProof/>
        </w:rPr>
        <w:t>31</w:t>
      </w:r>
      <w:r>
        <w:rPr>
          <w:noProof/>
        </w:rPr>
        <w:fldChar w:fldCharType="end"/>
      </w:r>
    </w:p>
    <w:p w14:paraId="7D34E7B5" w14:textId="453B6F78"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_Toc176897873 \h </w:instrText>
      </w:r>
      <w:r>
        <w:rPr>
          <w:noProof/>
        </w:rPr>
      </w:r>
      <w:r>
        <w:rPr>
          <w:noProof/>
        </w:rPr>
        <w:fldChar w:fldCharType="separate"/>
      </w:r>
      <w:r>
        <w:rPr>
          <w:noProof/>
        </w:rPr>
        <w:t>31</w:t>
      </w:r>
      <w:r>
        <w:rPr>
          <w:noProof/>
        </w:rPr>
        <w:fldChar w:fldCharType="end"/>
      </w:r>
    </w:p>
    <w:p w14:paraId="71AA12AC" w14:textId="5E60B6E9"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_Toc176897874 \h </w:instrText>
      </w:r>
      <w:r>
        <w:rPr>
          <w:noProof/>
        </w:rPr>
      </w:r>
      <w:r>
        <w:rPr>
          <w:noProof/>
        </w:rPr>
        <w:fldChar w:fldCharType="separate"/>
      </w:r>
      <w:r>
        <w:rPr>
          <w:noProof/>
        </w:rPr>
        <w:t>31</w:t>
      </w:r>
      <w:r>
        <w:rPr>
          <w:noProof/>
        </w:rPr>
        <w:fldChar w:fldCharType="end"/>
      </w:r>
    </w:p>
    <w:p w14:paraId="249B3D82" w14:textId="2B59B6A6"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_Toc176897875 \h </w:instrText>
      </w:r>
      <w:r>
        <w:rPr>
          <w:noProof/>
        </w:rPr>
      </w:r>
      <w:r>
        <w:rPr>
          <w:noProof/>
        </w:rPr>
        <w:fldChar w:fldCharType="separate"/>
      </w:r>
      <w:r>
        <w:rPr>
          <w:noProof/>
        </w:rPr>
        <w:t>33</w:t>
      </w:r>
      <w:r>
        <w:rPr>
          <w:noProof/>
        </w:rPr>
        <w:fldChar w:fldCharType="end"/>
      </w:r>
    </w:p>
    <w:p w14:paraId="729362CA" w14:textId="2BF2D9E9"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_Toc176897876 \h </w:instrText>
      </w:r>
      <w:r>
        <w:rPr>
          <w:noProof/>
        </w:rPr>
      </w:r>
      <w:r>
        <w:rPr>
          <w:noProof/>
        </w:rPr>
        <w:fldChar w:fldCharType="separate"/>
      </w:r>
      <w:r>
        <w:rPr>
          <w:noProof/>
        </w:rPr>
        <w:t>33</w:t>
      </w:r>
      <w:r>
        <w:rPr>
          <w:noProof/>
        </w:rPr>
        <w:fldChar w:fldCharType="end"/>
      </w:r>
    </w:p>
    <w:p w14:paraId="1B41D2ED" w14:textId="402CE11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_Toc176897877 \h </w:instrText>
      </w:r>
      <w:r>
        <w:rPr>
          <w:noProof/>
        </w:rPr>
      </w:r>
      <w:r>
        <w:rPr>
          <w:noProof/>
        </w:rPr>
        <w:fldChar w:fldCharType="separate"/>
      </w:r>
      <w:r>
        <w:rPr>
          <w:noProof/>
        </w:rPr>
        <w:t>33</w:t>
      </w:r>
      <w:r>
        <w:rPr>
          <w:noProof/>
        </w:rPr>
        <w:fldChar w:fldCharType="end"/>
      </w:r>
    </w:p>
    <w:p w14:paraId="4745852B" w14:textId="6D4AD783"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_Toc176897878 \h </w:instrText>
      </w:r>
      <w:r>
        <w:rPr>
          <w:noProof/>
        </w:rPr>
      </w:r>
      <w:r>
        <w:rPr>
          <w:noProof/>
        </w:rPr>
        <w:fldChar w:fldCharType="separate"/>
      </w:r>
      <w:r>
        <w:rPr>
          <w:noProof/>
        </w:rPr>
        <w:t>34</w:t>
      </w:r>
      <w:r>
        <w:rPr>
          <w:noProof/>
        </w:rPr>
        <w:fldChar w:fldCharType="end"/>
      </w:r>
    </w:p>
    <w:p w14:paraId="5112AFDE" w14:textId="58D543CA"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_Toc176897879 \h </w:instrText>
      </w:r>
      <w:r>
        <w:rPr>
          <w:noProof/>
        </w:rPr>
      </w:r>
      <w:r>
        <w:rPr>
          <w:noProof/>
        </w:rPr>
        <w:fldChar w:fldCharType="separate"/>
      </w:r>
      <w:r>
        <w:rPr>
          <w:noProof/>
        </w:rPr>
        <w:t>34</w:t>
      </w:r>
      <w:r>
        <w:rPr>
          <w:noProof/>
        </w:rPr>
        <w:fldChar w:fldCharType="end"/>
      </w:r>
    </w:p>
    <w:p w14:paraId="54F1AB0B" w14:textId="653F1664"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_Toc176897880 \h </w:instrText>
      </w:r>
      <w:r>
        <w:rPr>
          <w:noProof/>
        </w:rPr>
      </w:r>
      <w:r>
        <w:rPr>
          <w:noProof/>
        </w:rPr>
        <w:fldChar w:fldCharType="separate"/>
      </w:r>
      <w:r>
        <w:rPr>
          <w:noProof/>
        </w:rPr>
        <w:t>34</w:t>
      </w:r>
      <w:r>
        <w:rPr>
          <w:noProof/>
        </w:rPr>
        <w:fldChar w:fldCharType="end"/>
      </w:r>
    </w:p>
    <w:p w14:paraId="563BA534" w14:textId="0EDAB56C"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_Toc176897881 \h </w:instrText>
      </w:r>
      <w:r>
        <w:rPr>
          <w:noProof/>
        </w:rPr>
      </w:r>
      <w:r>
        <w:rPr>
          <w:noProof/>
        </w:rPr>
        <w:fldChar w:fldCharType="separate"/>
      </w:r>
      <w:r>
        <w:rPr>
          <w:noProof/>
        </w:rPr>
        <w:t>35</w:t>
      </w:r>
      <w:r>
        <w:rPr>
          <w:noProof/>
        </w:rPr>
        <w:fldChar w:fldCharType="end"/>
      </w:r>
    </w:p>
    <w:p w14:paraId="493D9E6C" w14:textId="07787AB4"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_Toc176897882 \h </w:instrText>
      </w:r>
      <w:r>
        <w:rPr>
          <w:noProof/>
        </w:rPr>
      </w:r>
      <w:r>
        <w:rPr>
          <w:noProof/>
        </w:rPr>
        <w:fldChar w:fldCharType="separate"/>
      </w:r>
      <w:r>
        <w:rPr>
          <w:noProof/>
        </w:rPr>
        <w:t>35</w:t>
      </w:r>
      <w:r>
        <w:rPr>
          <w:noProof/>
        </w:rPr>
        <w:fldChar w:fldCharType="end"/>
      </w:r>
    </w:p>
    <w:p w14:paraId="5BF3699A" w14:textId="2C179744"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Amendments to the Frame of Government</w:t>
      </w:r>
      <w:r>
        <w:rPr>
          <w:noProof/>
        </w:rPr>
        <w:tab/>
      </w:r>
      <w:r>
        <w:rPr>
          <w:noProof/>
        </w:rPr>
        <w:fldChar w:fldCharType="begin"/>
      </w:r>
      <w:r>
        <w:rPr>
          <w:noProof/>
        </w:rPr>
        <w:instrText xml:space="preserve"> PAGEREF _Toc176897883 \h </w:instrText>
      </w:r>
      <w:r>
        <w:rPr>
          <w:noProof/>
        </w:rPr>
      </w:r>
      <w:r>
        <w:rPr>
          <w:noProof/>
        </w:rPr>
        <w:fldChar w:fldCharType="separate"/>
      </w:r>
      <w:r>
        <w:rPr>
          <w:noProof/>
        </w:rPr>
        <w:t>36</w:t>
      </w:r>
      <w:r>
        <w:rPr>
          <w:noProof/>
        </w:rPr>
        <w:fldChar w:fldCharType="end"/>
      </w:r>
    </w:p>
    <w:p w14:paraId="24272704" w14:textId="077DE15C" w:rsidR="00B11BF0" w:rsidRDefault="00B11BF0">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_Toc176897884 \h </w:instrText>
      </w:r>
      <w:r>
        <w:rPr>
          <w:noProof/>
        </w:rPr>
      </w:r>
      <w:r>
        <w:rPr>
          <w:noProof/>
        </w:rPr>
        <w:fldChar w:fldCharType="separate"/>
      </w:r>
      <w:r>
        <w:rPr>
          <w:noProof/>
        </w:rPr>
        <w:t>36</w:t>
      </w:r>
      <w:r>
        <w:rPr>
          <w:noProof/>
        </w:rPr>
        <w:fldChar w:fldCharType="end"/>
      </w:r>
    </w:p>
    <w:p w14:paraId="0D1097C7" w14:textId="714C1C20" w:rsidR="00B11BF0" w:rsidRDefault="00B11BF0">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_Toc176897885 \h </w:instrText>
      </w:r>
      <w:r>
        <w:rPr>
          <w:noProof/>
        </w:rPr>
      </w:r>
      <w:r>
        <w:rPr>
          <w:noProof/>
        </w:rPr>
        <w:fldChar w:fldCharType="separate"/>
      </w:r>
      <w:r>
        <w:rPr>
          <w:noProof/>
        </w:rPr>
        <w:t>36</w:t>
      </w:r>
      <w:r>
        <w:rPr>
          <w:noProof/>
        </w:rPr>
        <w:fldChar w:fldCharType="end"/>
      </w:r>
    </w:p>
    <w:p w14:paraId="38E8B00C" w14:textId="0C335D2C"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76897757"/>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276A3DAF" w14:textId="77777777" w:rsidR="001D6447" w:rsidRDefault="001D6447" w:rsidP="001D6447">
      <w:pPr>
        <w:pStyle w:val="ArticleEnumeration"/>
      </w:pPr>
      <w:r>
        <w:t>And WHEREAS the liberty of freeborn subjects ought to be made secure to prohibit their encroachment and extirpation;</w:t>
      </w:r>
      <w:r>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76897758"/>
      <w:r>
        <w:t xml:space="preserve">Definition of </w:t>
      </w:r>
      <w:r w:rsidR="000D0B90">
        <w:t>Scope</w:t>
      </w:r>
      <w:bookmarkEnd w:id="2"/>
    </w:p>
    <w:p w14:paraId="72686700" w14:textId="12D1DDA2" w:rsidR="00E47FCB" w:rsidRDefault="00923455" w:rsidP="00181DFB">
      <w:pPr>
        <w:pStyle w:val="ArticleHead"/>
        <w:ind w:hanging="720"/>
      </w:pPr>
      <w:bookmarkStart w:id="3" w:name="_Toc176897759"/>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76897760"/>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76897761"/>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76897762"/>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76897763"/>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76897764"/>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76897765"/>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76897766"/>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76897767"/>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76897768"/>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76897769"/>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76897770"/>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76897771"/>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76897772"/>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76897773"/>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76897774"/>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76897775"/>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76897776"/>
      <w:r>
        <w:t xml:space="preserve">Right to </w:t>
      </w:r>
      <w:r w:rsidR="00E37BDF">
        <w:t xml:space="preserve">Grand </w:t>
      </w:r>
      <w:r>
        <w:t>Juries in Crimes</w:t>
      </w:r>
      <w:bookmarkEnd w:id="20"/>
    </w:p>
    <w:p w14:paraId="5A66B450" w14:textId="4C1DE14F"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B11DA0">
        <w:t xml:space="preserve">in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76897777"/>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76897778"/>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76897779"/>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76897780"/>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76897781"/>
      <w:r>
        <w:t>General Right</w:t>
      </w:r>
      <w:bookmarkEnd w:id="25"/>
    </w:p>
    <w:p w14:paraId="1AF2DD33" w14:textId="66F1D4AE"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w:t>
      </w:r>
      <w:r w:rsidR="00176EC2">
        <w:t>j</w:t>
      </w:r>
      <w:r w:rsidR="004E7A5E" w:rsidRPr="004E7A5E">
        <w:t>ury</w:t>
      </w:r>
      <w:r w:rsidR="0060020E">
        <w:t xml:space="preserve"> of twelve persons in his vicinage</w:t>
      </w:r>
      <w:r w:rsidR="003E0B07">
        <w:t xml:space="preserve">, duly </w:t>
      </w:r>
      <w:r w:rsidR="00655E9B">
        <w:t>i</w:t>
      </w:r>
      <w:r w:rsidR="003E0B07">
        <w:t xml:space="preserve">mpaneled and </w:t>
      </w:r>
      <w:r w:rsidR="00655E9B">
        <w:t>r</w:t>
      </w:r>
      <w:r w:rsidR="003E0B07">
        <w:t>eturned</w:t>
      </w:r>
      <w:r w:rsidR="00655E9B">
        <w:t xml:space="preserve"> by ballot from all persons eligible by law</w:t>
      </w:r>
      <w:r w:rsidR="003E0B07">
        <w:t>,</w:t>
      </w:r>
      <w:r w:rsidR="00096E88">
        <w:t xml:space="preserve"> to determine culpability</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76897782"/>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4C545181" w14:textId="76918DB4" w:rsidR="00FF6508" w:rsidRDefault="00FF6508" w:rsidP="003267CB">
      <w:pPr>
        <w:pStyle w:val="ArticleHead"/>
        <w:ind w:hanging="720"/>
      </w:pPr>
      <w:bookmarkStart w:id="27" w:name="_Toc176897783"/>
      <w:r>
        <w:t>Criminality of Interference in a Jury</w:t>
      </w:r>
      <w:bookmarkEnd w:id="27"/>
    </w:p>
    <w:p w14:paraId="59C7AB83" w14:textId="72DA79A4" w:rsidR="00FF6508" w:rsidRDefault="00FF6508" w:rsidP="00FF6508">
      <w:pPr>
        <w:pStyle w:val="ArticleEnumeration"/>
      </w:pPr>
      <w:r>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28" w:name="_Toc176897784"/>
      <w:r>
        <w:t>Consecutive Restriction</w:t>
      </w:r>
      <w:bookmarkEnd w:id="28"/>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29" w:name="_Toc176897785"/>
      <w:r>
        <w:lastRenderedPageBreak/>
        <w:t>Rights of Parliament</w:t>
      </w:r>
      <w:bookmarkEnd w:id="29"/>
    </w:p>
    <w:p w14:paraId="69E431CC" w14:textId="77777777" w:rsidR="00901BA1" w:rsidRDefault="00901BA1" w:rsidP="00C6185B">
      <w:pPr>
        <w:pStyle w:val="ArticleHead"/>
        <w:numPr>
          <w:ilvl w:val="0"/>
          <w:numId w:val="46"/>
        </w:numPr>
        <w:ind w:hanging="720"/>
      </w:pPr>
      <w:bookmarkStart w:id="30" w:name="_Toc176897786"/>
      <w:r>
        <w:t>Holding of Parliament</w:t>
      </w:r>
      <w:bookmarkEnd w:id="30"/>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31" w:name="_Toc176897787"/>
      <w:r>
        <w:t>Summoning of Parliaments</w:t>
      </w:r>
      <w:bookmarkEnd w:id="31"/>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32" w:name="_Toc176897788"/>
      <w:r>
        <w:t>Freedom of Election</w:t>
      </w:r>
      <w:bookmarkEnd w:id="32"/>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33" w:name="_Toc176897789"/>
      <w:r>
        <w:t>Law and Custom of Parliament</w:t>
      </w:r>
      <w:bookmarkEnd w:id="33"/>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34" w:name="_Toc176897790"/>
      <w:r>
        <w:t>Self-regulation</w:t>
      </w:r>
      <w:bookmarkEnd w:id="34"/>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35" w:name="_Toc176897791"/>
      <w:r>
        <w:t>Freedom of Speech in Parliament</w:t>
      </w:r>
      <w:bookmarkEnd w:id="35"/>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36" w:name="_Toc176897792"/>
      <w:r>
        <w:t>Non-prosecution nor questioning of MPs</w:t>
      </w:r>
      <w:bookmarkEnd w:id="36"/>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37" w:name="_Toc176897793"/>
      <w:r>
        <w:t>Right to investigate</w:t>
      </w:r>
      <w:bookmarkEnd w:id="37"/>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38" w:name="_Toc176897794"/>
      <w:r>
        <w:lastRenderedPageBreak/>
        <w:t>Freedom from molestation by executive and judiciary</w:t>
      </w:r>
      <w:bookmarkEnd w:id="38"/>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39" w:name="_Toc176897795"/>
      <w:r>
        <w:t>Non-punishment of Members of Parliament</w:t>
      </w:r>
      <w:bookmarkEnd w:id="39"/>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0" w:name="_Toc176897796"/>
      <w:r>
        <w:t>Parliamentary Immunity</w:t>
      </w:r>
      <w:bookmarkEnd w:id="40"/>
    </w:p>
    <w:p w14:paraId="386E4160" w14:textId="3EFF6F13"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AD1353">
        <w:t>.</w:t>
      </w:r>
      <w:r w:rsidR="000A632C">
        <w:br/>
      </w:r>
    </w:p>
    <w:p w14:paraId="339205EF" w14:textId="665E04DC" w:rsidR="0034311F" w:rsidRDefault="0034311F" w:rsidP="00C6185B">
      <w:pPr>
        <w:pStyle w:val="ArticleHead"/>
        <w:ind w:hanging="720"/>
      </w:pPr>
      <w:bookmarkStart w:id="41" w:name="_Toc176897797"/>
      <w:r>
        <w:t>Freedom of access</w:t>
      </w:r>
      <w:bookmarkEnd w:id="41"/>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42" w:name="_Toc176897798"/>
      <w:r>
        <w:t>Favourable construction</w:t>
      </w:r>
      <w:bookmarkEnd w:id="42"/>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43" w:name="_Toc176897799"/>
      <w:r>
        <w:t>Expulsion of Members of Parliament</w:t>
      </w:r>
      <w:bookmarkEnd w:id="43"/>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44" w:name="_Toc176897800"/>
      <w:r>
        <w:t>Contempt of Parliament</w:t>
      </w:r>
      <w:bookmarkEnd w:id="44"/>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45" w:name="_Toc176897801"/>
      <w:r>
        <w:t>Powers of Taxation</w:t>
      </w:r>
      <w:bookmarkEnd w:id="45"/>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46" w:name="_Toc176897802"/>
      <w:r>
        <w:t>Raising a Standing Army</w:t>
      </w:r>
      <w:bookmarkEnd w:id="46"/>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47" w:name="_Toc176897803"/>
      <w:r>
        <w:lastRenderedPageBreak/>
        <w:t>Religious Liberty</w:t>
      </w:r>
      <w:bookmarkEnd w:id="47"/>
    </w:p>
    <w:p w14:paraId="6962B68C" w14:textId="39CD2D36" w:rsidR="009E5E70" w:rsidRDefault="009E5E70" w:rsidP="00A2079C">
      <w:pPr>
        <w:pStyle w:val="ArticleHead"/>
        <w:numPr>
          <w:ilvl w:val="0"/>
          <w:numId w:val="26"/>
        </w:numPr>
        <w:ind w:hanging="720"/>
      </w:pPr>
      <w:bookmarkStart w:id="48" w:name="_Toc176897804"/>
      <w:r>
        <w:t>Freedom of Worship</w:t>
      </w:r>
      <w:bookmarkEnd w:id="48"/>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49" w:name="_Toc176897805"/>
      <w:r>
        <w:t>Abolition of blasphemy</w:t>
      </w:r>
      <w:bookmarkEnd w:id="49"/>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0" w:name="_Toc176897806"/>
      <w:r>
        <w:t>Non-discrimination</w:t>
      </w:r>
      <w:r w:rsidR="009E5E70">
        <w:t xml:space="preserve"> in Government</w:t>
      </w:r>
      <w:bookmarkEnd w:id="50"/>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51" w:name="_Toc176897807"/>
      <w:r>
        <w:lastRenderedPageBreak/>
        <w:t>Liberty</w:t>
      </w:r>
      <w:r w:rsidR="004B5029">
        <w:t xml:space="preserve"> of Speech</w:t>
      </w:r>
      <w:r w:rsidR="00AD1123">
        <w:t xml:space="preserve"> and Conscience</w:t>
      </w:r>
      <w:bookmarkEnd w:id="51"/>
    </w:p>
    <w:p w14:paraId="5778AD86" w14:textId="49BEEC07" w:rsidR="00AD1123" w:rsidRDefault="00AD1123" w:rsidP="00A2079C">
      <w:pPr>
        <w:pStyle w:val="ArticleHead"/>
        <w:numPr>
          <w:ilvl w:val="0"/>
          <w:numId w:val="27"/>
        </w:numPr>
        <w:ind w:hanging="720"/>
      </w:pPr>
      <w:bookmarkStart w:id="52" w:name="_Toc176897808"/>
      <w:r>
        <w:t xml:space="preserve">General </w:t>
      </w:r>
      <w:r w:rsidR="002439B8">
        <w:t>Right</w:t>
      </w:r>
      <w:bookmarkEnd w:id="52"/>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53" w:name="_Toc176897809"/>
      <w:r>
        <w:t>Prohibition of violation of free speech right</w:t>
      </w:r>
      <w:bookmarkEnd w:id="53"/>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54" w:name="_Toc176897810"/>
      <w:r>
        <w:t>Exceptions</w:t>
      </w:r>
      <w:r w:rsidR="009D25C2">
        <w:t xml:space="preserve"> </w:t>
      </w:r>
      <w:r w:rsidR="00906CFC">
        <w:t>for</w:t>
      </w:r>
      <w:r w:rsidR="009D25C2">
        <w:t xml:space="preserve"> </w:t>
      </w:r>
      <w:r w:rsidR="00E94F1F">
        <w:t>Libel</w:t>
      </w:r>
      <w:bookmarkEnd w:id="54"/>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55" w:name="_Toc176897811"/>
      <w:r>
        <w:t xml:space="preserve">Abolition of </w:t>
      </w:r>
      <w:r w:rsidR="00A05F68">
        <w:t>criminal</w:t>
      </w:r>
      <w:r w:rsidR="00071FC2">
        <w:t>, seditious, and blasphemous</w:t>
      </w:r>
      <w:r w:rsidR="00A05F68">
        <w:t xml:space="preserve"> </w:t>
      </w:r>
      <w:r>
        <w:t>libel</w:t>
      </w:r>
      <w:bookmarkEnd w:id="55"/>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56" w:name="_Toc176897812"/>
      <w:r>
        <w:t>Security of Private Writings</w:t>
      </w:r>
      <w:bookmarkEnd w:id="56"/>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57" w:name="_Toc176897813"/>
      <w:r>
        <w:t>Keeping writings from Owners</w:t>
      </w:r>
      <w:bookmarkEnd w:id="57"/>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58" w:name="_Toc176897814"/>
      <w:r>
        <w:t>Damages to writings</w:t>
      </w:r>
      <w:bookmarkEnd w:id="58"/>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59" w:name="_Toc176897815"/>
      <w:r>
        <w:lastRenderedPageBreak/>
        <w:t>Right to Censure the Government</w:t>
      </w:r>
      <w:bookmarkEnd w:id="59"/>
    </w:p>
    <w:p w14:paraId="6ED581FD" w14:textId="77777777" w:rsidR="00DA33A8" w:rsidRPr="00C62EA2" w:rsidRDefault="00DA33A8" w:rsidP="00DA33A8">
      <w:pPr>
        <w:pStyle w:val="ArticleHead"/>
        <w:numPr>
          <w:ilvl w:val="0"/>
          <w:numId w:val="30"/>
        </w:numPr>
        <w:ind w:hanging="720"/>
      </w:pPr>
      <w:bookmarkStart w:id="60" w:name="_Toc176897816"/>
      <w:r w:rsidRPr="002A3C18">
        <w:t>General</w:t>
      </w:r>
      <w:r>
        <w:t xml:space="preserve"> Right</w:t>
      </w:r>
      <w:bookmarkEnd w:id="60"/>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61" w:name="_Toc176897817"/>
      <w:r>
        <w:t>Right to examine governmental proceedings</w:t>
      </w:r>
      <w:bookmarkEnd w:id="61"/>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62" w:name="_Toc176897818"/>
      <w:r>
        <w:t>List of the Imprisoned</w:t>
      </w:r>
      <w:bookmarkEnd w:id="62"/>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63" w:name="_Toc176897819"/>
      <w:r>
        <w:t>Liberty</w:t>
      </w:r>
      <w:r w:rsidRPr="00892764">
        <w:t xml:space="preserve"> of the Press</w:t>
      </w:r>
      <w:bookmarkEnd w:id="63"/>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64" w:name="_Toc176897820"/>
      <w:r>
        <w:t>Abolition of taxes on knowledge</w:t>
      </w:r>
      <w:bookmarkEnd w:id="64"/>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65" w:name="_Toc176897821"/>
      <w:r>
        <w:t>Right to Petition</w:t>
      </w:r>
      <w:bookmarkEnd w:id="65"/>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66" w:name="_Toc176897822"/>
      <w:r>
        <w:lastRenderedPageBreak/>
        <w:t>Right of Assembly</w:t>
      </w:r>
      <w:bookmarkEnd w:id="66"/>
    </w:p>
    <w:p w14:paraId="334D7084" w14:textId="264BAD5A" w:rsidR="0056346C" w:rsidRDefault="009D25C2" w:rsidP="004275AF">
      <w:pPr>
        <w:pStyle w:val="ArticleHead"/>
        <w:numPr>
          <w:ilvl w:val="0"/>
          <w:numId w:val="28"/>
        </w:numPr>
        <w:ind w:hanging="720"/>
      </w:pPr>
      <w:bookmarkStart w:id="67" w:name="_Toc176897823"/>
      <w:r>
        <w:t>General Right</w:t>
      </w:r>
      <w:bookmarkEnd w:id="67"/>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68" w:name="_Toc176897824"/>
      <w:r>
        <w:t>Prohibition of obstruction</w:t>
      </w:r>
      <w:bookmarkEnd w:id="68"/>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69" w:name="_Toc176897825"/>
      <w:r>
        <w:t>Cases for</w:t>
      </w:r>
      <w:r w:rsidR="00E94F1F">
        <w:t xml:space="preserve"> </w:t>
      </w:r>
      <w:r w:rsidR="009D25C2">
        <w:t>Dissolution</w:t>
      </w:r>
      <w:bookmarkEnd w:id="69"/>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0" w:name="_Toc176897826"/>
      <w:r>
        <w:t>Investigations</w:t>
      </w:r>
      <w:bookmarkEnd w:id="70"/>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71" w:name="_Toc176897827"/>
      <w:r>
        <w:lastRenderedPageBreak/>
        <w:t>Rights of Property</w:t>
      </w:r>
      <w:bookmarkEnd w:id="71"/>
    </w:p>
    <w:p w14:paraId="237EC9A5" w14:textId="77777777" w:rsidR="00EF4F93" w:rsidRDefault="00EF4F93" w:rsidP="00EF4F93">
      <w:pPr>
        <w:pStyle w:val="ArticleHead"/>
        <w:numPr>
          <w:ilvl w:val="0"/>
          <w:numId w:val="47"/>
        </w:numPr>
        <w:ind w:hanging="720"/>
      </w:pPr>
      <w:bookmarkStart w:id="72" w:name="_Toc176897828"/>
      <w:r>
        <w:t>General Right</w:t>
      </w:r>
      <w:bookmarkEnd w:id="72"/>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73" w:name="_Toc176897829"/>
      <w:r>
        <w:t>Sanctity of the Home</w:t>
      </w:r>
      <w:bookmarkEnd w:id="73"/>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74" w:name="_Toc176897830"/>
      <w:r>
        <w:t>Sanctity of Corporate Property</w:t>
      </w:r>
      <w:bookmarkEnd w:id="74"/>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75" w:name="_Toc176897831"/>
      <w:r>
        <w:t>Illegality of violence to property</w:t>
      </w:r>
      <w:bookmarkEnd w:id="75"/>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76" w:name="_Toc33624523"/>
      <w:r>
        <w:lastRenderedPageBreak/>
        <w:t xml:space="preserve"> </w:t>
      </w:r>
      <w:bookmarkStart w:id="77" w:name="_Toc176897832"/>
      <w:r w:rsidR="004B750F">
        <w:t>F</w:t>
      </w:r>
      <w:r w:rsidR="00105EEA">
        <w:t>rame of Government</w:t>
      </w:r>
      <w:bookmarkEnd w:id="77"/>
    </w:p>
    <w:p w14:paraId="6626DB79" w14:textId="3315F8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0F2EC3F0" w:rsidR="00C27BF1" w:rsidRDefault="00C27BF1" w:rsidP="00C27BF1">
      <w:pPr>
        <w:pStyle w:val="ArticleEnumeration"/>
      </w:pPr>
      <w:r>
        <w:t>And WHEREAS the Prerogative and Influence of the Crown has as of late encroached upon the rights and privileges of the Commons</w:t>
      </w:r>
      <w:r w:rsidR="00AB70FC">
        <w:t xml:space="preserve">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2C0E33F7"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633ECF">
        <w:t>Crown</w:t>
      </w:r>
      <w:r w:rsidR="006E5051" w:rsidRPr="003532F5">
        <w:t xml:space="preserve">,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78" w:name="_Toc176897833"/>
      <w:r w:rsidRPr="00FC42AF">
        <w:t>Parliament</w:t>
      </w:r>
      <w:bookmarkEnd w:id="76"/>
      <w:bookmarkEnd w:id="78"/>
    </w:p>
    <w:p w14:paraId="340A3C9D" w14:textId="2F730E2E" w:rsidR="00FD68DA" w:rsidRDefault="000F1522" w:rsidP="00CA05F0">
      <w:pPr>
        <w:pStyle w:val="ArticleHead"/>
        <w:numPr>
          <w:ilvl w:val="0"/>
          <w:numId w:val="35"/>
        </w:numPr>
        <w:ind w:hanging="720"/>
      </w:pPr>
      <w:bookmarkStart w:id="79" w:name="_Toc176897834"/>
      <w:r>
        <w:t>Legislative Function</w:t>
      </w:r>
      <w:bookmarkEnd w:id="79"/>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0" w:name="_Toc176897835"/>
      <w:r>
        <w:t>Acts of Parliament</w:t>
      </w:r>
      <w:bookmarkEnd w:id="80"/>
    </w:p>
    <w:p w14:paraId="53ADCC49" w14:textId="77777777" w:rsidR="004462C9"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4462C9">
        <w:t>.</w:t>
      </w:r>
      <w:r w:rsidR="00036B7E">
        <w:t xml:space="preserve"> </w:t>
      </w:r>
    </w:p>
    <w:p w14:paraId="4BE06A49" w14:textId="325CDE72" w:rsidR="00782C10" w:rsidRDefault="004462C9" w:rsidP="00782C10">
      <w:pPr>
        <w:pStyle w:val="ArticleEnumeration"/>
      </w:pPr>
      <w:r>
        <w:br/>
        <w:t>P</w:t>
      </w:r>
      <w:r w:rsidR="00036B7E">
        <w:t xml:space="preserve">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after its Passage</w:t>
      </w:r>
      <w:r>
        <w:t>; and no Act shall ever be made</w:t>
      </w:r>
      <w:r w:rsidR="00BB68EB">
        <w:t xml:space="preserve"> for levying </w:t>
      </w:r>
      <w:r w:rsidR="00BB68EB">
        <w:lastRenderedPageBreak/>
        <w:t xml:space="preserve">Money in </w:t>
      </w:r>
      <w:r w:rsidR="00BB68EB">
        <w:t>Establishments, Factories, and Colonies</w:t>
      </w:r>
      <w:r w:rsidR="00BB68EB">
        <w:t xml:space="preserve"> which </w:t>
      </w:r>
      <w:r w:rsidR="009F4673">
        <w:t>Parliament shall make provision</w:t>
      </w:r>
      <w:r w:rsidR="00BB68EB">
        <w:t xml:space="preserve"> for the formation of a Legislative Assembly</w:t>
      </w:r>
      <w:r w:rsidR="00BD4C59">
        <w:t xml:space="preserve">, without </w:t>
      </w:r>
      <w:r w:rsidR="003E44CD">
        <w:t>actual</w:t>
      </w:r>
      <w:r w:rsidR="00033908">
        <w:t xml:space="preserve"> represent</w:t>
      </w:r>
      <w:r w:rsidR="00BD4C59">
        <w:t>ation</w:t>
      </w:r>
      <w:r w:rsidR="00033908">
        <w:t xml:space="preserve"> in the House of Commons</w:t>
      </w:r>
      <w:r w:rsidR="00782C10">
        <w:t>.</w:t>
      </w:r>
      <w:r w:rsidR="00782C10">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81" w:name="_Toc176897836"/>
      <w:r>
        <w:t>Bills</w:t>
      </w:r>
      <w:r w:rsidR="000D77ED">
        <w:t xml:space="preserve"> for Levying Money reserved to the Commons</w:t>
      </w:r>
      <w:bookmarkEnd w:id="81"/>
    </w:p>
    <w:p w14:paraId="65A8C718" w14:textId="46FFDCCD"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w:t>
      </w:r>
      <w:r w:rsidR="000F5C1C">
        <w:t>,</w:t>
      </w:r>
      <w:r>
        <w:t xml:space="preserve"> or propose or concur with </w:t>
      </w:r>
      <w:r w:rsidR="000D77ED">
        <w:t>A</w:t>
      </w:r>
      <w:r>
        <w:t>mendments</w:t>
      </w:r>
      <w:r w:rsidR="000F5C1C">
        <w:t>,</w:t>
      </w:r>
      <w:r>
        <w:t xml:space="preserve"> as on other </w:t>
      </w:r>
      <w:r w:rsidR="000D77ED">
        <w:t>B</w:t>
      </w:r>
      <w:r>
        <w:t>ills.</w:t>
      </w:r>
      <w:r>
        <w:br/>
      </w:r>
    </w:p>
    <w:p w14:paraId="10940C1A" w14:textId="6B54A6D0" w:rsidR="000333CD" w:rsidRDefault="000333CD" w:rsidP="00194612">
      <w:pPr>
        <w:pStyle w:val="ArticleHead"/>
        <w:ind w:left="360"/>
      </w:pPr>
      <w:bookmarkStart w:id="82" w:name="_Toc176897837"/>
      <w:r>
        <w:t>Composition of Houses of Parliament</w:t>
      </w:r>
      <w:bookmarkEnd w:id="82"/>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83" w:name="_Toc176897838"/>
      <w:r>
        <w:t>Commons Vacancies</w:t>
      </w:r>
      <w:bookmarkEnd w:id="83"/>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84" w:name="_Toc176897839"/>
      <w:r>
        <w:t>Member of the House</w:t>
      </w:r>
      <w:r w:rsidR="00985BA8">
        <w:t xml:space="preserve"> of Commons</w:t>
      </w:r>
      <w:r w:rsidR="00BC6EFA">
        <w:t xml:space="preserve"> requirements</w:t>
      </w:r>
      <w:bookmarkEnd w:id="84"/>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w:t>
      </w:r>
      <w:r w:rsidR="00F70CF3" w:rsidRPr="00526E54">
        <w:lastRenderedPageBreak/>
        <w:t>seat</w:t>
      </w:r>
      <w:r w:rsidR="00D10214" w:rsidRPr="00526E54">
        <w:t xml:space="preserve">. </w:t>
      </w:r>
      <w:r w:rsidR="009C7CEC" w:rsidRPr="00526E54">
        <w:br/>
      </w:r>
    </w:p>
    <w:p w14:paraId="6756D3E7" w14:textId="4F17E92B" w:rsidR="009C7CEC" w:rsidRDefault="00526E54" w:rsidP="00526E54">
      <w:pPr>
        <w:pStyle w:val="ArticleEnumeration"/>
      </w:pPr>
      <w:r w:rsidRPr="00526E54">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85" w:name="_Toc176897840"/>
      <w:r>
        <w:t>Nature of Commons representation</w:t>
      </w:r>
      <w:bookmarkEnd w:id="85"/>
    </w:p>
    <w:p w14:paraId="3FCF6723" w14:textId="69CB83D8" w:rsidR="00AE5760" w:rsidRDefault="00AE5760" w:rsidP="00526E54">
      <w:pPr>
        <w:pStyle w:val="ArticleEnumeration"/>
      </w:pPr>
      <w:r>
        <w:t xml:space="preserve">Members of the House of Commons are the representatives not of the Grand Division from which they are elected, nor of the County, City, Burgh, Town, or Cinque Port in which the Grand Division is located, but of the whole Commons. </w:t>
      </w:r>
      <w:r>
        <w:br/>
      </w:r>
    </w:p>
    <w:p w14:paraId="6AF57D65" w14:textId="180EDD5D" w:rsidR="00E01085" w:rsidRDefault="001119D0" w:rsidP="00E01085">
      <w:pPr>
        <w:pStyle w:val="ArticleHead"/>
        <w:ind w:left="360"/>
      </w:pPr>
      <w:bookmarkStart w:id="86" w:name="_Toc176897841"/>
      <w:r>
        <w:t>Eligibility for the Vote</w:t>
      </w:r>
      <w:bookmarkEnd w:id="86"/>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87" w:name="_Toc176897842"/>
      <w:r>
        <w:t>Sessions of Parliament</w:t>
      </w:r>
      <w:bookmarkEnd w:id="87"/>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88" w:name="_Toc176897843"/>
      <w:r>
        <w:t>Additional officers in the Commons</w:t>
      </w:r>
      <w:bookmarkEnd w:id="88"/>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89" w:name="_Toc176897844"/>
      <w:r>
        <w:t>Appointment of a Legislation Minister</w:t>
      </w:r>
      <w:bookmarkEnd w:id="89"/>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0" w:name="_Toc176897845"/>
      <w:r>
        <w:t>Impeachment</w:t>
      </w:r>
      <w:bookmarkEnd w:id="90"/>
    </w:p>
    <w:p w14:paraId="3EF78BFF" w14:textId="54B9F238"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w:t>
      </w:r>
      <w:r w:rsidR="00236EC7">
        <w:lastRenderedPageBreak/>
        <w:t>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xml:space="preserve">; and a member shall thence be sent to the Lords and the </w:t>
      </w:r>
      <w:r w:rsidR="00787F36">
        <w:t>Justice Minister</w:t>
      </w:r>
      <w:r w:rsidR="00FA0CCE">
        <w:t xml:space="preserve">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04869ED5" w:rsidR="008F5989" w:rsidRDefault="008F5989" w:rsidP="00C26249">
      <w:pPr>
        <w:pStyle w:val="ArticleEnumeration"/>
      </w:pPr>
      <w:r>
        <w:t xml:space="preserve">The </w:t>
      </w:r>
      <w:r w:rsidR="00E63AD2">
        <w:t>Justice Minister</w:t>
      </w:r>
      <w:r>
        <w:t xml:space="preserve"> shall draw up a list of </w:t>
      </w:r>
      <w:r w:rsidR="00E63AD2">
        <w:t>Members of the House of Lords</w:t>
      </w:r>
      <w:r w:rsidR="00AC2788">
        <w:t>,</w:t>
      </w:r>
      <w:r w:rsidR="0029645F">
        <w:t xml:space="preserve"> and upon </w:t>
      </w:r>
      <w:r w:rsidR="001B2B68">
        <w:t>reception</w:t>
      </w:r>
      <w:r w:rsidR="00B76982">
        <w:t>, the House of Commons</w:t>
      </w:r>
      <w:r w:rsidR="0029645F">
        <w:t xml:space="preserve"> shall </w:t>
      </w:r>
      <w:r w:rsidR="00B76982">
        <w:t>strike one third of the names from the list</w:t>
      </w:r>
      <w:r w:rsidR="00AC2788">
        <w:t>;</w:t>
      </w:r>
      <w:r w:rsidR="00B76982">
        <w:t xml:space="preserve"> and </w:t>
      </w:r>
      <w:r w:rsidR="009737A1">
        <w:t xml:space="preserve">from this </w:t>
      </w:r>
      <w:r w:rsidR="00B76982">
        <w:t xml:space="preserve">the </w:t>
      </w:r>
      <w:r w:rsidR="00AC2788">
        <w:t>Minister</w:t>
      </w:r>
      <w:r w:rsidR="00B76982">
        <w:t xml:space="preserve"> shall select </w:t>
      </w:r>
      <w:r w:rsidR="00257594">
        <w:t>forty</w:t>
      </w:r>
      <w:r w:rsidR="00B76982">
        <w:t xml:space="preserve"> names by lot</w:t>
      </w:r>
      <w:r w:rsidR="00AC2788">
        <w:t>,</w:t>
      </w:r>
      <w:r w:rsidR="00B76982">
        <w:t xml:space="preserve"> and from this list the House of Commons shall strike </w:t>
      </w:r>
      <w:r w:rsidR="00257594">
        <w:t>ten</w:t>
      </w:r>
      <w:r w:rsidR="00B76982">
        <w:t xml:space="preserve"> names and the accused five</w:t>
      </w:r>
      <w:r w:rsidR="00A76D60">
        <w:t>; and the</w:t>
      </w:r>
      <w:r w:rsidR="00E63AD2">
        <w:t xml:space="preserve"> Justice Minister shall issue an order convening the</w:t>
      </w:r>
      <w:r w:rsidR="00A76D60">
        <w:t xml:space="preserve"> </w:t>
      </w:r>
      <w:r w:rsidR="00257594">
        <w:t>twenty-five</w:t>
      </w:r>
      <w:r w:rsidR="00A76D60">
        <w:t xml:space="preserve"> remaining </w:t>
      </w:r>
      <w:r w:rsidR="00E63AD2">
        <w:t>Lords</w:t>
      </w:r>
      <w:r w:rsidR="00A76D60">
        <w:t xml:space="preserve"> </w:t>
      </w:r>
      <w:r w:rsidR="00E63AD2">
        <w:t>as a</w:t>
      </w:r>
      <w:r w:rsidR="00C33648">
        <w:t xml:space="preserve"> National</w:t>
      </w:r>
      <w:r w:rsidR="00E63AD2">
        <w:t xml:space="preserve"> </w:t>
      </w:r>
      <w:r w:rsidR="00C33648">
        <w:t>J</w:t>
      </w:r>
      <w:r w:rsidR="00E63AD2">
        <w:t>ury for</w:t>
      </w:r>
      <w:r w:rsidR="00A76D60">
        <w:t xml:space="preserve"> </w:t>
      </w:r>
      <w:r w:rsidR="00E63AD2">
        <w:t>the</w:t>
      </w:r>
      <w:r w:rsidR="00A76D60">
        <w:t xml:space="preserve"> High Court for the Trial of Impeachment; and in the meantime the House of Commons shall draw up articles and appoint managers to prepare evidence and conduct proceedings on its behalf.</w:t>
      </w:r>
      <w:r>
        <w:br/>
      </w:r>
    </w:p>
    <w:p w14:paraId="5A6F9AF7" w14:textId="0FE020E8"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B223DE">
        <w:t>,</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2F13C4">
        <w:t xml:space="preserve">National </w:t>
      </w:r>
      <w:r w:rsidR="00E63AD2">
        <w:t xml:space="preserve">Jury </w:t>
      </w:r>
      <w:r w:rsidR="00863E8B">
        <w:t>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at such time as the Commons demand on it, the</w:t>
      </w:r>
      <w:r w:rsidR="00044707">
        <w:t xml:space="preserve"> </w:t>
      </w:r>
      <w:r w:rsidR="00FA61B7">
        <w:t>Jury</w:t>
      </w:r>
      <w:r w:rsidR="00C9110F">
        <w:t xml:space="preserve"> </w:t>
      </w:r>
      <w:r w:rsidR="00B54530">
        <w:t xml:space="preserve">shall give judgement which no Prerogative shall </w:t>
      </w:r>
      <w:r w:rsidR="00666621">
        <w:t>touch</w:t>
      </w:r>
      <w:r w:rsidR="00B54530">
        <w:t xml:space="preserve">. </w:t>
      </w:r>
      <w:r w:rsidR="0066753D">
        <w:br/>
      </w:r>
    </w:p>
    <w:p w14:paraId="0141B347" w14:textId="0CA16A2A" w:rsidR="00AF2EA4" w:rsidRDefault="00AF2EA4" w:rsidP="00AF2EA4">
      <w:pPr>
        <w:pStyle w:val="ArticleHead"/>
        <w:ind w:hanging="720"/>
      </w:pPr>
      <w:bookmarkStart w:id="91" w:name="_Toc176897846"/>
      <w:r>
        <w:t>Commons prosecution</w:t>
      </w:r>
      <w:bookmarkEnd w:id="91"/>
    </w:p>
    <w:p w14:paraId="71051398" w14:textId="668C2AEB" w:rsidR="00AF2EA4" w:rsidRDefault="00AF2EA4" w:rsidP="00C26249">
      <w:pPr>
        <w:pStyle w:val="ArticleEnumeration"/>
      </w:pPr>
      <w:r>
        <w:t xml:space="preserve">The House of Commons shall additionally hold the right to charge, in the name of the House of Commons, and of all the Commons of the Realm, and </w:t>
      </w:r>
      <w:r w:rsidR="00455F65">
        <w:t>accuse</w:t>
      </w:r>
      <w:r>
        <w:t xml:space="preserve"> individuals for crimes, for the purpose of trial in courts</w:t>
      </w:r>
      <w:r w:rsidR="00455F65">
        <w:t xml:space="preserve"> ordinary</w:t>
      </w:r>
      <w:r>
        <w:t xml:space="preserve"> which hold relevant jurisdiction therein, and shall draw up articles and appoint managers to prepare evidence and conduct proceedings on its behalf for the purposes of such trials.</w:t>
      </w:r>
      <w:r>
        <w:br/>
      </w:r>
    </w:p>
    <w:p w14:paraId="2D308026" w14:textId="681A30AB" w:rsidR="00630219" w:rsidRDefault="00630219" w:rsidP="00630219">
      <w:pPr>
        <w:pStyle w:val="ArticleHead"/>
        <w:ind w:hanging="720"/>
      </w:pPr>
      <w:bookmarkStart w:id="92" w:name="_Toc176897847"/>
      <w:r>
        <w:t>Acts of Attainder and Pains and Penalties</w:t>
      </w:r>
      <w:bookmarkEnd w:id="92"/>
    </w:p>
    <w:p w14:paraId="26750EF3" w14:textId="73CB582A" w:rsidR="00AF2EA4"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93" w:name="_Toc176897848"/>
      <w:r>
        <w:lastRenderedPageBreak/>
        <w:t>The Crown</w:t>
      </w:r>
      <w:bookmarkEnd w:id="93"/>
    </w:p>
    <w:p w14:paraId="1E17A718" w14:textId="76AA78EE" w:rsidR="00CD3468" w:rsidRDefault="00D105C3" w:rsidP="0006105D">
      <w:pPr>
        <w:pStyle w:val="ArticleHead"/>
        <w:numPr>
          <w:ilvl w:val="0"/>
          <w:numId w:val="39"/>
        </w:numPr>
        <w:ind w:left="360"/>
      </w:pPr>
      <w:bookmarkStart w:id="94" w:name="_Toc176897849"/>
      <w:r>
        <w:t>Vestment of the Crown</w:t>
      </w:r>
      <w:bookmarkEnd w:id="94"/>
    </w:p>
    <w:p w14:paraId="6FF59184" w14:textId="01F928D4"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 exercised</w:t>
      </w:r>
      <w:r w:rsidR="00045CD8">
        <w:t xml:space="preserve"> by their representatives in Parliament</w:t>
      </w:r>
      <w:r w:rsidR="006401C0">
        <w:t xml:space="preserve"> through Act or Joint Declaration as the case may be;</w:t>
      </w:r>
      <w:r w:rsidR="004C1920">
        <w:t xml:space="preserve">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95" w:name="_Toc176897850"/>
      <w:r>
        <w:t>Prerogative of the Crown</w:t>
      </w:r>
      <w:bookmarkEnd w:id="95"/>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 xml:space="preserve">n </w:t>
      </w:r>
      <w:r w:rsidR="0064062C">
        <w:lastRenderedPageBreak/>
        <w:t>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saving</w:t>
      </w:r>
      <w:r w:rsidR="005305BC">
        <w:t xml:space="preserve"> the Constitution</w:t>
      </w:r>
      <w:r w:rsidR="0064062C">
        <w:t>, and Declaration of Reasons of the same</w:t>
      </w:r>
      <w:r>
        <w:t>;</w:t>
      </w:r>
      <w:r>
        <w:br/>
      </w:r>
    </w:p>
    <w:p w14:paraId="2679FFAB" w14:textId="5629AD2D"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Privy Council</w:t>
      </w:r>
      <w:r w:rsidR="0091640A">
        <w:t>lors</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47CF2905"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96" w:name="_Toc176897851"/>
      <w:r>
        <w:t>Restricted powers of the Crown</w:t>
      </w:r>
      <w:bookmarkEnd w:id="96"/>
    </w:p>
    <w:p w14:paraId="3C8EFF38" w14:textId="47BBDC23"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w:t>
      </w:r>
      <w:r w:rsidR="00F04C85">
        <w:t>Election Master-General</w:t>
      </w:r>
      <w:r w:rsidR="00143476">
        <w:t xml:space="preserve"> shall issue such a proclamation</w:t>
      </w:r>
      <w:r w:rsidR="00986802" w:rsidRPr="00986802">
        <w:t xml:space="preserve"> </w:t>
      </w:r>
      <w:r w:rsidR="00986802">
        <w:t>under the Great Seal of the Realm</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97" w:name="_Toc176897852"/>
      <w:r>
        <w:t>Relation to Acts of Parliament</w:t>
      </w:r>
      <w:bookmarkEnd w:id="97"/>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98" w:name="_Toc176897853"/>
      <w:r>
        <w:t xml:space="preserve">Surrender of Crown revenues, </w:t>
      </w:r>
      <w:r w:rsidR="00863DD3">
        <w:t>grants of Civil Lists</w:t>
      </w:r>
      <w:bookmarkEnd w:id="98"/>
    </w:p>
    <w:p w14:paraId="367FAEDD" w14:textId="53F9003B"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99" w:name="_Toc176897854"/>
      <w:r>
        <w:t xml:space="preserve">Standing </w:t>
      </w:r>
      <w:r w:rsidR="003F2306">
        <w:t>Army</w:t>
      </w:r>
      <w:bookmarkEnd w:id="99"/>
    </w:p>
    <w:p w14:paraId="0193FD90" w14:textId="585CCD78" w:rsidR="00EC663F" w:rsidRDefault="00EC663F" w:rsidP="003F2306">
      <w:pPr>
        <w:pStyle w:val="ArticleEnumeration"/>
      </w:pPr>
      <w:r>
        <w:t xml:space="preserve">At no time shall the Crown raise and keep a Standing Army within the British Isles without </w:t>
      </w:r>
      <w:r w:rsidR="007C3FF4">
        <w:t xml:space="preserve">the </w:t>
      </w:r>
      <w:r>
        <w:t>Consent of Parliament.</w:t>
      </w:r>
      <w:r>
        <w:br/>
      </w:r>
    </w:p>
    <w:p w14:paraId="1F55F8E2" w14:textId="1DB225AE" w:rsidR="009A26F8" w:rsidRDefault="009A26F8" w:rsidP="009A26F8">
      <w:pPr>
        <w:pStyle w:val="ArticleHead"/>
        <w:ind w:left="360"/>
      </w:pPr>
      <w:bookmarkStart w:id="100" w:name="_Toc176897855"/>
      <w:r>
        <w:t xml:space="preserve">Condition of the </w:t>
      </w:r>
      <w:r w:rsidR="00BD19D7">
        <w:t>Commonwealth</w:t>
      </w:r>
      <w:r>
        <w:t xml:space="preserve"> address</w:t>
      </w:r>
      <w:bookmarkEnd w:id="100"/>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1" w:name="_Toc176897856"/>
      <w:r>
        <w:t>Protection of</w:t>
      </w:r>
      <w:r w:rsidR="001822E5">
        <w:t xml:space="preserve"> the Church</w:t>
      </w:r>
      <w:bookmarkEnd w:id="101"/>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2" w:name="_Toc176897857"/>
      <w:r>
        <w:t>Privy Council</w:t>
      </w:r>
      <w:bookmarkEnd w:id="102"/>
    </w:p>
    <w:p w14:paraId="4F5D3C10" w14:textId="3C7871C1"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ministers</w:t>
      </w:r>
      <w:r w:rsidR="00CB0F32">
        <w:t xml:space="preserve"> of state</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03" w:name="_Toc176897858"/>
      <w:r>
        <w:t>Appointment of Ministers</w:t>
      </w:r>
      <w:bookmarkEnd w:id="103"/>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04" w:name="_Toc176897859"/>
      <w:r>
        <w:t>Ministries</w:t>
      </w:r>
      <w:r w:rsidR="00F50609">
        <w:t xml:space="preserve"> of State</w:t>
      </w:r>
      <w:bookmarkEnd w:id="104"/>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05" w:name="_Toc176897860"/>
      <w:r>
        <w:t>Regency</w:t>
      </w:r>
      <w:bookmarkEnd w:id="105"/>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06" w:name="_Toc176897861"/>
      <w:r>
        <w:lastRenderedPageBreak/>
        <w:t>Judiciary</w:t>
      </w:r>
      <w:bookmarkEnd w:id="106"/>
    </w:p>
    <w:p w14:paraId="2685148C" w14:textId="76CFDFB8" w:rsidR="004D007B" w:rsidRDefault="005F57EA" w:rsidP="004D007B">
      <w:pPr>
        <w:pStyle w:val="ArticleHead"/>
        <w:numPr>
          <w:ilvl w:val="0"/>
          <w:numId w:val="40"/>
        </w:numPr>
        <w:ind w:left="360"/>
      </w:pPr>
      <w:bookmarkStart w:id="107" w:name="_Toc176897862"/>
      <w:r>
        <w:t>Judicial Function</w:t>
      </w:r>
      <w:bookmarkEnd w:id="107"/>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08" w:name="_Toc176897863"/>
      <w:r>
        <w:t>Extension of the Judicial Power</w:t>
      </w:r>
      <w:bookmarkEnd w:id="108"/>
    </w:p>
    <w:p w14:paraId="6081AAE9" w14:textId="3E679FBB" w:rsidR="00D60690" w:rsidRDefault="00D60690" w:rsidP="00D60690">
      <w:pPr>
        <w:pStyle w:val="ArticleEnumeration"/>
      </w:pPr>
      <w:r>
        <w:t>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w:t>
      </w:r>
      <w:r>
        <w:br/>
      </w:r>
    </w:p>
    <w:p w14:paraId="7558B9ED" w14:textId="1F86C46C" w:rsidR="001A4D50" w:rsidRDefault="007956EE" w:rsidP="001A4D50">
      <w:pPr>
        <w:pStyle w:val="ArticleHead"/>
        <w:ind w:hanging="720"/>
      </w:pPr>
      <w:bookmarkStart w:id="109" w:name="_Toc176897864"/>
      <w:r>
        <w:t>Parliamentary Supremacy</w:t>
      </w:r>
      <w:bookmarkEnd w:id="109"/>
    </w:p>
    <w:p w14:paraId="5888FC69" w14:textId="2EBA0459" w:rsidR="001A4D50" w:rsidRDefault="001A4D50" w:rsidP="00D60690">
      <w:pPr>
        <w:pStyle w:val="ArticleEnumeration"/>
      </w:pPr>
      <w:r>
        <w:t xml:space="preserve">The Charter of Liberty and Security, this Frame of Government, and all other </w:t>
      </w:r>
      <w:r w:rsidR="00FA30FB">
        <w:t>Statutes</w:t>
      </w:r>
      <w:r>
        <w:t xml:space="preserve"> of Parliament, shall be the Law of the Land; and the Judges</w:t>
      </w:r>
      <w:r w:rsidR="0085480A">
        <w:t xml:space="preserve"> in the </w:t>
      </w:r>
      <w:r w:rsidR="00DB1279">
        <w:t>British Isles and its Establishments, Factories, and Colonies</w:t>
      </w:r>
      <w:r w:rsidR="00DB1279">
        <w:t xml:space="preserve"> </w:t>
      </w:r>
      <w:r w:rsidR="0085480A">
        <w:t xml:space="preserve">shall be bound thereby, anything in the </w:t>
      </w:r>
      <w:r w:rsidR="0085480A">
        <w:t>d</w:t>
      </w:r>
      <w:r w:rsidR="0085480A" w:rsidRPr="004E7A5E">
        <w:t xml:space="preserve">ecrees, </w:t>
      </w:r>
      <w:r w:rsidR="0085480A">
        <w:t>o</w:t>
      </w:r>
      <w:r w:rsidR="0085480A" w:rsidRPr="004E7A5E">
        <w:t xml:space="preserve">rders, and </w:t>
      </w:r>
      <w:r w:rsidR="0085480A">
        <w:t>p</w:t>
      </w:r>
      <w:r w:rsidR="0085480A" w:rsidRPr="004E7A5E">
        <w:t>roclamations</w:t>
      </w:r>
      <w:r w:rsidR="0085480A">
        <w:t xml:space="preserve"> of the Crown</w:t>
      </w:r>
      <w:r w:rsidR="001F2251">
        <w:t>,</w:t>
      </w:r>
      <w:r w:rsidR="0085480A">
        <w:t xml:space="preserve"> or Ordinances of </w:t>
      </w:r>
      <w:r w:rsidR="001F2251">
        <w:t>M</w:t>
      </w:r>
      <w:r w:rsidR="00D66240">
        <w:t>unicipal</w:t>
      </w:r>
      <w:r w:rsidR="001F2251">
        <w:t>ities,</w:t>
      </w:r>
      <w:r w:rsidR="00D66240">
        <w:t xml:space="preserve"> </w:t>
      </w:r>
      <w:r w:rsidR="0085480A">
        <w:t>notwithstanding.</w:t>
      </w:r>
      <w:r>
        <w:br/>
      </w:r>
    </w:p>
    <w:p w14:paraId="785846C9" w14:textId="77777777" w:rsidR="00B453BB" w:rsidRDefault="00B453BB" w:rsidP="00B453BB">
      <w:pPr>
        <w:pStyle w:val="ArticleHead"/>
        <w:ind w:left="360"/>
      </w:pPr>
      <w:bookmarkStart w:id="110" w:name="_Toc176897865"/>
      <w:r>
        <w:t>Headship of the Judiciary</w:t>
      </w:r>
      <w:bookmarkEnd w:id="110"/>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1" w:name="_Toc176897866"/>
      <w:r>
        <w:t>Supreme Court of Judicature</w:t>
      </w:r>
      <w:bookmarkEnd w:id="111"/>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36377256" w14:textId="050A4827" w:rsidR="00211AA4" w:rsidRDefault="00211AA4" w:rsidP="00211AA4">
      <w:pPr>
        <w:pStyle w:val="ArticleHead"/>
        <w:ind w:hanging="720"/>
      </w:pPr>
      <w:bookmarkStart w:id="112" w:name="_Toc176897867"/>
      <w:r>
        <w:t>Jur</w:t>
      </w:r>
      <w:r w:rsidR="004157E5">
        <w:t>ies</w:t>
      </w:r>
      <w:bookmarkEnd w:id="112"/>
    </w:p>
    <w:p w14:paraId="0D17F027" w14:textId="2602994D" w:rsidR="00211AA4" w:rsidRDefault="00261CFE" w:rsidP="004D007B">
      <w:pPr>
        <w:pStyle w:val="ArticleEnumeration"/>
      </w:pPr>
      <w:r>
        <w:lastRenderedPageBreak/>
        <w:t>T</w:t>
      </w:r>
      <w:r w:rsidR="00211AA4">
        <w:t>rial of cases</w:t>
      </w:r>
      <w:r>
        <w:t xml:space="preserve"> in courts of justice</w:t>
      </w:r>
      <w:r w:rsidR="00211AA4">
        <w:t xml:space="preserve">, except impeachment, shall be by jury, </w:t>
      </w:r>
      <w:r w:rsidR="00C82E12">
        <w:t>which shall</w:t>
      </w:r>
      <w:r w:rsidR="00211AA4">
        <w:t xml:space="preserve"> </w:t>
      </w:r>
      <w:r w:rsidR="00AF6838">
        <w:t>proceed</w:t>
      </w:r>
      <w:r w:rsidR="00211AA4">
        <w:t xml:space="preserve"> as follows:</w:t>
      </w:r>
      <w:r w:rsidR="00211AA4">
        <w:br/>
      </w:r>
    </w:p>
    <w:p w14:paraId="11C6DB66" w14:textId="18F5EE66" w:rsidR="00211AA4" w:rsidRDefault="00211AA4" w:rsidP="004D007B">
      <w:pPr>
        <w:pStyle w:val="ArticleEnumeration"/>
      </w:pPr>
      <w:r>
        <w:t xml:space="preserve">The local magistrate shall compose and frame Qualified Lists, of all subjects whose habitation is in the jurisdiction of the court, without those persons disqualified by Act of Parliament, or by connexion to the Parties of the Trial, or excluded by peremptory challenge; </w:t>
      </w:r>
      <w:r w:rsidR="001C370D">
        <w:t xml:space="preserve">and </w:t>
      </w:r>
      <w:r>
        <w:t>the sheriff or depute serving therein shall select veniremen by lot</w:t>
      </w:r>
      <w:r w:rsidR="001C370D">
        <w:t>; and juries shall be selected by lot from the veniremen, and summoned to a court of law by the local magistrate</w:t>
      </w:r>
      <w:r>
        <w:t>.</w:t>
      </w:r>
      <w:r>
        <w:br/>
      </w:r>
    </w:p>
    <w:p w14:paraId="2688A568" w14:textId="45279457" w:rsidR="00DD6E69" w:rsidRDefault="00DD6E69" w:rsidP="00DD6E69">
      <w:pPr>
        <w:pStyle w:val="ArticleEnumeration"/>
      </w:pPr>
      <w:r>
        <w:t xml:space="preserve">Juries meet secretly in conference without the presence of any person not a juryman, and during such conference the judge and jury </w:t>
      </w:r>
      <w:r w:rsidRPr="009F0D63">
        <w:t xml:space="preserve">shall suffer none to speak to them, neither shall </w:t>
      </w:r>
      <w:r>
        <w:t>judge or official of the court</w:t>
      </w:r>
      <w:r w:rsidRPr="009F0D63">
        <w:t xml:space="preserve"> speak to them </w:t>
      </w:r>
      <w:r>
        <w:t xml:space="preserve">themselves; and juries shall only be released from conferences upon returning a verdict, unless the court has ordered the jury conference adjourned. </w:t>
      </w:r>
      <w:r>
        <w:br/>
      </w:r>
    </w:p>
    <w:p w14:paraId="6A430C89" w14:textId="77777777" w:rsidR="00DD6E69" w:rsidRDefault="00DD6E69" w:rsidP="00DD6E69">
      <w:pPr>
        <w:pStyle w:val="ArticleEnumeration"/>
      </w:pPr>
      <w:r>
        <w:t xml:space="preserve">In order to prevent intemperance or causeless debate, jurymen are to be kept without meat, drink, fire, or candle, except in such amounts as set by law, until they reach a verdict. </w:t>
      </w:r>
      <w:r>
        <w:br/>
      </w:r>
    </w:p>
    <w:p w14:paraId="3092A619" w14:textId="7EF52351" w:rsidR="00DD6E69" w:rsidRDefault="00DD6E69" w:rsidP="00DD6E69">
      <w:pPr>
        <w:pStyle w:val="ArticleEnumeration"/>
      </w:pPr>
      <w:r>
        <w:t xml:space="preserve">To insure a fair compensation for time spent, jurymen shall be paid an appropriate renumeration, consisting of demurrage-money the same to all and journey-money proportioned to the distance between the place of trial and each juryman’s place of residence. </w:t>
      </w:r>
      <w:r>
        <w:br/>
      </w:r>
    </w:p>
    <w:p w14:paraId="4AC20F60" w14:textId="7A551877" w:rsidR="00DD6E69" w:rsidRDefault="00176EC2" w:rsidP="00176EC2">
      <w:pPr>
        <w:pStyle w:val="ArticleHead"/>
        <w:ind w:hanging="720"/>
      </w:pPr>
      <w:bookmarkStart w:id="113" w:name="_Toc176897868"/>
      <w:r>
        <w:t>Grand Juries</w:t>
      </w:r>
      <w:r w:rsidR="00E43DEB">
        <w:t xml:space="preserve"> and Juries of Inquest</w:t>
      </w:r>
      <w:bookmarkEnd w:id="113"/>
    </w:p>
    <w:p w14:paraId="14A2C2D1" w14:textId="4E714459" w:rsidR="00DD6E69" w:rsidRDefault="00176EC2" w:rsidP="004D007B">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rsidR="00E43DEB">
        <w:br/>
      </w:r>
    </w:p>
    <w:p w14:paraId="4BC1BC29" w14:textId="01E4108D" w:rsidR="00E43DEB" w:rsidRDefault="00E43DEB" w:rsidP="00E43DEB">
      <w:pPr>
        <w:pStyle w:val="ArticleEnumeration"/>
      </w:pPr>
      <w:r>
        <w:t xml:space="preserve">In cases where a person is found dead and the manner of death is unknown, the Coroner shall convene a Jury, in like manner as a Grand Jury, for the purposes of Inquest. </w:t>
      </w:r>
      <w:r>
        <w:br/>
      </w:r>
    </w:p>
    <w:p w14:paraId="2F0BB377" w14:textId="77777777" w:rsidR="004D007B" w:rsidRDefault="004D007B" w:rsidP="00425D98">
      <w:pPr>
        <w:pStyle w:val="ArticleHead"/>
        <w:ind w:hanging="720"/>
      </w:pPr>
      <w:bookmarkStart w:id="114" w:name="_Toc176897869"/>
      <w:r>
        <w:t>Providing for issuing of writs</w:t>
      </w:r>
      <w:bookmarkEnd w:id="114"/>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6625CE7E" w14:textId="77777777" w:rsidR="006507E8" w:rsidRDefault="006507E8">
      <w:pPr>
        <w:tabs>
          <w:tab w:val="clear" w:pos="993"/>
        </w:tabs>
      </w:pPr>
      <w:r>
        <w:br w:type="page"/>
      </w:r>
    </w:p>
    <w:p w14:paraId="25623A84" w14:textId="77777777" w:rsidR="0078613E" w:rsidRDefault="0078613E" w:rsidP="0078613E">
      <w:pPr>
        <w:pStyle w:val="Heading2"/>
      </w:pPr>
      <w:bookmarkStart w:id="115" w:name="_Toc176897870"/>
      <w:r>
        <w:lastRenderedPageBreak/>
        <w:t>Administration of Elections</w:t>
      </w:r>
      <w:bookmarkEnd w:id="115"/>
    </w:p>
    <w:p w14:paraId="446BB2F8" w14:textId="77777777" w:rsidR="0078613E" w:rsidRDefault="0078613E" w:rsidP="0078613E">
      <w:pPr>
        <w:pStyle w:val="ArticleHead"/>
        <w:numPr>
          <w:ilvl w:val="0"/>
          <w:numId w:val="42"/>
        </w:numPr>
        <w:ind w:left="360"/>
      </w:pPr>
      <w:bookmarkStart w:id="116" w:name="_Toc176897871"/>
      <w:r>
        <w:t>Election Offices</w:t>
      </w:r>
      <w:bookmarkEnd w:id="116"/>
    </w:p>
    <w:p w14:paraId="72BDA5D6" w14:textId="68C388C2" w:rsidR="0078613E" w:rsidRDefault="00A41B31" w:rsidP="0078613E">
      <w:pPr>
        <w:pStyle w:val="ArticleEnumeration"/>
      </w:pPr>
      <w:r>
        <w:t>The</w:t>
      </w:r>
      <w:r w:rsidR="0078613E">
        <w:t xml:space="preserve"> Election Master-General shall direct the National Election Office </w:t>
      </w:r>
      <w:r w:rsidR="0078613E" w:rsidRPr="004E7A5E">
        <w:t xml:space="preserve">to </w:t>
      </w:r>
      <w:r w:rsidR="0078613E">
        <w:t>distribute</w:t>
      </w:r>
      <w:r w:rsidR="0078613E" w:rsidRPr="004E7A5E">
        <w:t xml:space="preserve"> </w:t>
      </w:r>
      <w:r w:rsidR="0078613E">
        <w:t>E</w:t>
      </w:r>
      <w:r w:rsidR="0078613E" w:rsidRPr="004E7A5E">
        <w:t xml:space="preserve">lection </w:t>
      </w:r>
      <w:r w:rsidR="0078613E">
        <w:t>W</w:t>
      </w:r>
      <w:r w:rsidR="0078613E" w:rsidRPr="004E7A5E">
        <w:t xml:space="preserve">rits, </w:t>
      </w:r>
      <w:r w:rsidR="0078613E">
        <w:t>r</w:t>
      </w:r>
      <w:r w:rsidR="0078613E" w:rsidRPr="004E7A5E">
        <w:t xml:space="preserve">eceive </w:t>
      </w:r>
      <w:r w:rsidR="0078613E">
        <w:t>r</w:t>
      </w:r>
      <w:r w:rsidR="0078613E" w:rsidRPr="004E7A5E">
        <w:t>eturns, and</w:t>
      </w:r>
      <w:r w:rsidR="0078613E">
        <w:t xml:space="preserve"> d</w:t>
      </w:r>
      <w:r w:rsidR="0078613E" w:rsidRPr="004E7A5E">
        <w:t xml:space="preserve">irect and </w:t>
      </w:r>
      <w:r w:rsidR="0078613E">
        <w:t>s</w:t>
      </w:r>
      <w:r w:rsidR="0078613E" w:rsidRPr="004E7A5E">
        <w:t xml:space="preserve">uperintend all </w:t>
      </w:r>
      <w:r w:rsidR="0078613E">
        <w:t>e</w:t>
      </w:r>
      <w:r w:rsidR="0078613E" w:rsidRPr="004E7A5E">
        <w:t>lections</w:t>
      </w:r>
      <w:r w:rsidR="001F6099">
        <w:t xml:space="preserve"> to the House of Commons</w:t>
      </w:r>
      <w:r w:rsidR="0078613E">
        <w:t>.</w:t>
      </w:r>
      <w:r w:rsidR="0078613E">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17" w:name="_Toc176897872"/>
      <w:r>
        <w:t>Electoral registers</w:t>
      </w:r>
      <w:bookmarkEnd w:id="117"/>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18" w:name="_Toc176897873"/>
      <w:r>
        <w:t>Election nomination</w:t>
      </w:r>
      <w:bookmarkEnd w:id="118"/>
    </w:p>
    <w:p w14:paraId="695DD5A5" w14:textId="09644D16"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19" w:name="_Toc176897874"/>
      <w:r>
        <w:t>Election procedure</w:t>
      </w:r>
      <w:bookmarkEnd w:id="119"/>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0" w:name="_Toc176897875"/>
      <w:r>
        <w:lastRenderedPageBreak/>
        <w:t>Oaths</w:t>
      </w:r>
      <w:r w:rsidR="005F0EF0">
        <w:t xml:space="preserve"> and Subscriptions; Incompatibility of and </w:t>
      </w:r>
      <w:r w:rsidR="007A1F46">
        <w:t>Exclusion of Offices, etc.</w:t>
      </w:r>
      <w:bookmarkEnd w:id="120"/>
    </w:p>
    <w:p w14:paraId="46191D88" w14:textId="389BC9C7" w:rsidR="007A1F46" w:rsidRDefault="00266E96" w:rsidP="007E738C">
      <w:pPr>
        <w:pStyle w:val="ArticleHead"/>
        <w:numPr>
          <w:ilvl w:val="0"/>
          <w:numId w:val="41"/>
        </w:numPr>
        <w:ind w:left="360"/>
      </w:pPr>
      <w:bookmarkStart w:id="121" w:name="_Toc176897876"/>
      <w:r>
        <w:t xml:space="preserve">General </w:t>
      </w:r>
      <w:r w:rsidR="007A1F46">
        <w:t>Oaths of Office</w:t>
      </w:r>
      <w:bookmarkEnd w:id="121"/>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4C7EF0DF"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 xml:space="preserve">principle in the Succession of the Crown than </w:t>
      </w:r>
      <w:r w:rsidR="00567377">
        <w:t>the Sovereign Majesty of the People exercised by their representatives in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2" w:name="_Toc176897877"/>
      <w:r>
        <w:t>Election Master-General’s Oath</w:t>
      </w:r>
      <w:bookmarkEnd w:id="122"/>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xml:space="preserve">. And I do solemnly swear that, if it be the third year from the day of the last dissolution of </w:t>
      </w:r>
      <w:r w:rsidR="004571B8">
        <w:lastRenderedPageBreak/>
        <w:t>Parliament,</w:t>
      </w:r>
      <w:r w:rsidR="001E2A2F">
        <w:t xml:space="preserve"> I will issue forth several and respective Writs to the several and respective Peers of 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3" w:name="_Toc176897878"/>
      <w:r>
        <w:t>Oaths of Keepers of the Great Seal</w:t>
      </w:r>
      <w:bookmarkEnd w:id="123"/>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4" w:name="_Toc176897879"/>
      <w:r>
        <w:t>Oath of</w:t>
      </w:r>
      <w:r w:rsidR="00CF0E75">
        <w:t xml:space="preserve"> the Crown</w:t>
      </w:r>
      <w:bookmarkEnd w:id="124"/>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5" w:name="_Toc176897880"/>
      <w:r>
        <w:t>Option to affirm oaths</w:t>
      </w:r>
      <w:bookmarkEnd w:id="125"/>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 xml:space="preserve">This I do under the pains and </w:t>
      </w:r>
      <w:r w:rsidRPr="008845DA">
        <w:lastRenderedPageBreak/>
        <w:t>penalties of perjury</w:t>
      </w:r>
      <w:r>
        <w:t xml:space="preserve">”. </w:t>
      </w:r>
      <w:r>
        <w:br/>
      </w:r>
    </w:p>
    <w:p w14:paraId="67182879" w14:textId="528B67A3" w:rsidR="00645042" w:rsidRDefault="00645042" w:rsidP="00667CD1">
      <w:pPr>
        <w:pStyle w:val="ArticleHead"/>
        <w:ind w:hanging="720"/>
      </w:pPr>
      <w:bookmarkStart w:id="126" w:name="_Toc176897881"/>
      <w:r>
        <w:t>Incompatibility and Exclusion from Offices</w:t>
      </w:r>
      <w:bookmarkEnd w:id="126"/>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27" w:name="_Toc176897882"/>
      <w:r>
        <w:t>Declaration of the Act</w:t>
      </w:r>
      <w:bookmarkEnd w:id="127"/>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4CFE5D24" w14:textId="35A278AD" w:rsidR="00105BB0" w:rsidRDefault="00105BB0">
      <w:pPr>
        <w:tabs>
          <w:tab w:val="clear" w:pos="993"/>
        </w:tabs>
      </w:pPr>
      <w:r>
        <w:br w:type="page"/>
      </w:r>
    </w:p>
    <w:p w14:paraId="34FC5818" w14:textId="4C88E009" w:rsidR="00105BB0" w:rsidRDefault="00105BB0" w:rsidP="00105BB0">
      <w:pPr>
        <w:pStyle w:val="Heading2"/>
      </w:pPr>
      <w:bookmarkStart w:id="128" w:name="_Toc176897883"/>
      <w:r>
        <w:lastRenderedPageBreak/>
        <w:t>Amendments to the Frame of Government</w:t>
      </w:r>
      <w:bookmarkEnd w:id="128"/>
    </w:p>
    <w:p w14:paraId="63DD43BB" w14:textId="60AE87C6" w:rsidR="00105BB0" w:rsidRDefault="00105BB0" w:rsidP="0003089F">
      <w:pPr>
        <w:pStyle w:val="ArticleEnumeration"/>
      </w:pPr>
      <w:r>
        <w:t>Parliament shall have power to propose, approve, and ratify Amendments to the Frame of Government, as</w:t>
      </w:r>
      <w:r w:rsidR="006C3E76">
        <w:t xml:space="preserve"> with</w:t>
      </w:r>
      <w:r>
        <w:t xml:space="preserve"> any other Act</w:t>
      </w:r>
      <w:r w:rsidR="00583284">
        <w:t>s</w:t>
      </w:r>
      <w:r>
        <w:t>.</w:t>
      </w:r>
      <w:r>
        <w:br/>
      </w:r>
    </w:p>
    <w:p w14:paraId="384CEA8D" w14:textId="412EF032" w:rsidR="001A64C2" w:rsidRDefault="001A64C2" w:rsidP="001A64C2">
      <w:pPr>
        <w:pStyle w:val="Heading2"/>
      </w:pPr>
      <w:bookmarkStart w:id="129" w:name="_Toc176897884"/>
      <w:r>
        <w:t>Schedules to which the Foregoing Act Refers to</w:t>
      </w:r>
      <w:bookmarkEnd w:id="129"/>
    </w:p>
    <w:p w14:paraId="10DE2DE2" w14:textId="3CB0101B" w:rsidR="001A64C2" w:rsidRDefault="001A64C2" w:rsidP="001A64C2">
      <w:pPr>
        <w:pStyle w:val="ArticleHead"/>
        <w:numPr>
          <w:ilvl w:val="0"/>
          <w:numId w:val="48"/>
        </w:numPr>
        <w:ind w:hanging="720"/>
      </w:pPr>
      <w:bookmarkStart w:id="130" w:name="_Toc176897885"/>
      <w:r>
        <w:t>Schedule (A)</w:t>
      </w:r>
      <w:bookmarkEnd w:id="130"/>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7726D" w14:textId="77777777" w:rsidR="00D207DE" w:rsidRDefault="00D207DE" w:rsidP="002B1CC0">
      <w:pPr>
        <w:spacing w:after="0" w:line="240" w:lineRule="auto"/>
      </w:pPr>
      <w:r>
        <w:separator/>
      </w:r>
    </w:p>
  </w:endnote>
  <w:endnote w:type="continuationSeparator" w:id="0">
    <w:p w14:paraId="3E6B1DC5" w14:textId="77777777" w:rsidR="00D207DE" w:rsidRDefault="00D207DE"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212C1" w14:textId="77777777" w:rsidR="00D207DE" w:rsidRDefault="00D207DE" w:rsidP="002B1CC0">
      <w:pPr>
        <w:spacing w:after="0" w:line="240" w:lineRule="auto"/>
      </w:pPr>
      <w:r>
        <w:separator/>
      </w:r>
    </w:p>
  </w:footnote>
  <w:footnote w:type="continuationSeparator" w:id="0">
    <w:p w14:paraId="1B58490C" w14:textId="77777777" w:rsidR="00D207DE" w:rsidRDefault="00D207DE"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908"/>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707"/>
    <w:rsid w:val="00044D4F"/>
    <w:rsid w:val="00044F9C"/>
    <w:rsid w:val="0004517F"/>
    <w:rsid w:val="000456C8"/>
    <w:rsid w:val="000459A5"/>
    <w:rsid w:val="00045CD8"/>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6980"/>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6E88"/>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5C1C"/>
    <w:rsid w:val="000F6450"/>
    <w:rsid w:val="000F6901"/>
    <w:rsid w:val="00100618"/>
    <w:rsid w:val="001018B7"/>
    <w:rsid w:val="001020D8"/>
    <w:rsid w:val="00102260"/>
    <w:rsid w:val="00102443"/>
    <w:rsid w:val="00102B65"/>
    <w:rsid w:val="001040E6"/>
    <w:rsid w:val="0010451A"/>
    <w:rsid w:val="001047F5"/>
    <w:rsid w:val="00105928"/>
    <w:rsid w:val="00105BB0"/>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EC2"/>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D50"/>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2B6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370D"/>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447"/>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251"/>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7AA"/>
    <w:rsid w:val="00204B97"/>
    <w:rsid w:val="00205EB3"/>
    <w:rsid w:val="00206093"/>
    <w:rsid w:val="00206453"/>
    <w:rsid w:val="00206E62"/>
    <w:rsid w:val="002073C7"/>
    <w:rsid w:val="00207822"/>
    <w:rsid w:val="002079FD"/>
    <w:rsid w:val="00207A6A"/>
    <w:rsid w:val="00207DDA"/>
    <w:rsid w:val="0021076B"/>
    <w:rsid w:val="00210E58"/>
    <w:rsid w:val="00210F3A"/>
    <w:rsid w:val="00211AA4"/>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193"/>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57594"/>
    <w:rsid w:val="00260382"/>
    <w:rsid w:val="002603B2"/>
    <w:rsid w:val="002604D3"/>
    <w:rsid w:val="00261412"/>
    <w:rsid w:val="002615E4"/>
    <w:rsid w:val="002616E9"/>
    <w:rsid w:val="00261A4E"/>
    <w:rsid w:val="00261CF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3C4"/>
    <w:rsid w:val="002F1D8B"/>
    <w:rsid w:val="002F23CF"/>
    <w:rsid w:val="002F2474"/>
    <w:rsid w:val="002F2735"/>
    <w:rsid w:val="002F2E0F"/>
    <w:rsid w:val="002F3011"/>
    <w:rsid w:val="002F372A"/>
    <w:rsid w:val="002F40BE"/>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24CD"/>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367"/>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4CD"/>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7E5"/>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2C9"/>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5F65"/>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77"/>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3284"/>
    <w:rsid w:val="005847A8"/>
    <w:rsid w:val="00585121"/>
    <w:rsid w:val="005857ED"/>
    <w:rsid w:val="005859CC"/>
    <w:rsid w:val="005865AF"/>
    <w:rsid w:val="0058667C"/>
    <w:rsid w:val="00586CF8"/>
    <w:rsid w:val="00587EA2"/>
    <w:rsid w:val="005900AD"/>
    <w:rsid w:val="00590511"/>
    <w:rsid w:val="0059156B"/>
    <w:rsid w:val="00591D39"/>
    <w:rsid w:val="00591E8B"/>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6BC"/>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2222"/>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0AC"/>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3ECF"/>
    <w:rsid w:val="0063421B"/>
    <w:rsid w:val="0063488A"/>
    <w:rsid w:val="006366A6"/>
    <w:rsid w:val="00636956"/>
    <w:rsid w:val="00636CE7"/>
    <w:rsid w:val="00636D80"/>
    <w:rsid w:val="00637671"/>
    <w:rsid w:val="00637D51"/>
    <w:rsid w:val="006401C0"/>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07E8"/>
    <w:rsid w:val="00651072"/>
    <w:rsid w:val="00651B6D"/>
    <w:rsid w:val="006521D3"/>
    <w:rsid w:val="00652448"/>
    <w:rsid w:val="006524AC"/>
    <w:rsid w:val="006524E4"/>
    <w:rsid w:val="006528F1"/>
    <w:rsid w:val="00652AA8"/>
    <w:rsid w:val="00652DF8"/>
    <w:rsid w:val="0065450D"/>
    <w:rsid w:val="00654A75"/>
    <w:rsid w:val="00655372"/>
    <w:rsid w:val="00655E9B"/>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3E76"/>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069"/>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87F36"/>
    <w:rsid w:val="007908A6"/>
    <w:rsid w:val="0079206E"/>
    <w:rsid w:val="00792198"/>
    <w:rsid w:val="00792A44"/>
    <w:rsid w:val="00792DE3"/>
    <w:rsid w:val="00792E6F"/>
    <w:rsid w:val="00792E92"/>
    <w:rsid w:val="00793494"/>
    <w:rsid w:val="00793B8C"/>
    <w:rsid w:val="00793C2A"/>
    <w:rsid w:val="007949ED"/>
    <w:rsid w:val="00794C9E"/>
    <w:rsid w:val="007950CB"/>
    <w:rsid w:val="007956EE"/>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858"/>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3FF4"/>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80A"/>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20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AB8"/>
    <w:rsid w:val="00882E50"/>
    <w:rsid w:val="00883BA2"/>
    <w:rsid w:val="00883EC8"/>
    <w:rsid w:val="008845DA"/>
    <w:rsid w:val="008849D6"/>
    <w:rsid w:val="00884C17"/>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40A"/>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9BC"/>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02"/>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4673"/>
    <w:rsid w:val="009F5354"/>
    <w:rsid w:val="009F5435"/>
    <w:rsid w:val="009F572F"/>
    <w:rsid w:val="009F59C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162C"/>
    <w:rsid w:val="00A41B31"/>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977AD"/>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0F65"/>
    <w:rsid w:val="00AC1088"/>
    <w:rsid w:val="00AC1B76"/>
    <w:rsid w:val="00AC1D95"/>
    <w:rsid w:val="00AC1F3E"/>
    <w:rsid w:val="00AC2788"/>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2EA4"/>
    <w:rsid w:val="00AF3AE3"/>
    <w:rsid w:val="00AF3BA9"/>
    <w:rsid w:val="00AF42DC"/>
    <w:rsid w:val="00AF4479"/>
    <w:rsid w:val="00AF4636"/>
    <w:rsid w:val="00AF46E9"/>
    <w:rsid w:val="00AF504F"/>
    <w:rsid w:val="00AF5068"/>
    <w:rsid w:val="00AF53CA"/>
    <w:rsid w:val="00AF682D"/>
    <w:rsid w:val="00AF6838"/>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BF0"/>
    <w:rsid w:val="00B11D93"/>
    <w:rsid w:val="00B11DA0"/>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3DE"/>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4BE8"/>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8EB"/>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1C73"/>
    <w:rsid w:val="00BD21A0"/>
    <w:rsid w:val="00BD2AC7"/>
    <w:rsid w:val="00BD32A8"/>
    <w:rsid w:val="00BD3530"/>
    <w:rsid w:val="00BD3B6F"/>
    <w:rsid w:val="00BD4019"/>
    <w:rsid w:val="00BD4446"/>
    <w:rsid w:val="00BD454B"/>
    <w:rsid w:val="00BD4610"/>
    <w:rsid w:val="00BD4B62"/>
    <w:rsid w:val="00BD4C59"/>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648"/>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4EA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2E12"/>
    <w:rsid w:val="00C84077"/>
    <w:rsid w:val="00C841F9"/>
    <w:rsid w:val="00C84497"/>
    <w:rsid w:val="00C844A9"/>
    <w:rsid w:val="00C84707"/>
    <w:rsid w:val="00C84793"/>
    <w:rsid w:val="00C863FD"/>
    <w:rsid w:val="00C864B1"/>
    <w:rsid w:val="00C86E82"/>
    <w:rsid w:val="00C86F8A"/>
    <w:rsid w:val="00C87D9B"/>
    <w:rsid w:val="00C9037E"/>
    <w:rsid w:val="00C90651"/>
    <w:rsid w:val="00C9110F"/>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0F32"/>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A17"/>
    <w:rsid w:val="00CD2B17"/>
    <w:rsid w:val="00CD303D"/>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3DD"/>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1B9"/>
    <w:rsid w:val="00D172ED"/>
    <w:rsid w:val="00D17D87"/>
    <w:rsid w:val="00D2076A"/>
    <w:rsid w:val="00D207DE"/>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9DD"/>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9E4"/>
    <w:rsid w:val="00D60B22"/>
    <w:rsid w:val="00D61CAA"/>
    <w:rsid w:val="00D61F98"/>
    <w:rsid w:val="00D62C19"/>
    <w:rsid w:val="00D62ED3"/>
    <w:rsid w:val="00D6326A"/>
    <w:rsid w:val="00D63A5B"/>
    <w:rsid w:val="00D64176"/>
    <w:rsid w:val="00D64198"/>
    <w:rsid w:val="00D64CA2"/>
    <w:rsid w:val="00D65C1D"/>
    <w:rsid w:val="00D6616C"/>
    <w:rsid w:val="00D66240"/>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5AC"/>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6E69"/>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8"/>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3DEB"/>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AD2"/>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4C85"/>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26BD"/>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176"/>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0FB"/>
    <w:rsid w:val="00FA3473"/>
    <w:rsid w:val="00FA4129"/>
    <w:rsid w:val="00FA41B0"/>
    <w:rsid w:val="00FA4709"/>
    <w:rsid w:val="00FA51BA"/>
    <w:rsid w:val="00FA55B4"/>
    <w:rsid w:val="00FA55B6"/>
    <w:rsid w:val="00FA61B7"/>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2AC"/>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208431</TotalTime>
  <Pages>36</Pages>
  <Words>10321</Words>
  <Characters>58835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4667</cp:revision>
  <cp:lastPrinted>2020-06-10T02:28:00Z</cp:lastPrinted>
  <dcterms:created xsi:type="dcterms:W3CDTF">2020-02-16T20:55:00Z</dcterms:created>
  <dcterms:modified xsi:type="dcterms:W3CDTF">2024-09-11T13:08:00Z</dcterms:modified>
</cp:coreProperties>
</file>