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r>
              <w:rPr>
                <w:b/>
                <w:sz w:val="36"/>
              </w:rPr>
              <w:t>ADRS TECHNO PVT. LTD.</w:t>
            </w:r>
          </w:p>
          <w:p>
            <w:r>
              <w:rPr>
                <w:i/>
                <w:sz w:val="20"/>
              </w:rPr>
              <w:t>Advance Digital &amp; Reliable Solutions</w:t>
            </w:r>
          </w:p>
        </w:tc>
        <w:tc>
          <w:tcPr>
            <w:tcW w:type="dxa" w:w="4320"/>
          </w:tcPr>
          <w:p>
            <w:pPr>
              <w:jc w:val="right"/>
            </w:pPr>
            <w:r>
              <w:rPr>
                <w:sz w:val="18"/>
              </w:rPr>
              <w:t>CIN: U62011MP2024PTC072652</w:t>
            </w:r>
          </w:p>
          <w:p>
            <w:pPr>
              <w:jc w:val="right"/>
            </w:pPr>
            <w:r>
              <w:rPr>
                <w:sz w:val="18"/>
              </w:rPr>
              <w:t>Date: _______________</w:t>
            </w:r>
          </w:p>
        </w:tc>
      </w:tr>
    </w:tbl>
    <w:p>
      <w:pPr>
        <w:spacing w:after="40"/>
      </w:pPr>
    </w:p>
    <w:p>
      <w:pPr>
        <w:jc w:val="center"/>
      </w:pPr>
      <w:r>
        <w:rPr>
          <w:b/>
          <w:sz w:val="30"/>
        </w:rPr>
        <w:t>CHANGE ORDER / ADDITIONAL SCOPE QUOTATION</w:t>
      </w:r>
    </w:p>
    <w:p>
      <w:pPr>
        <w:jc w:val="center"/>
      </w:pPr>
      <w:r>
        <w:rPr>
          <w:i/>
          <w:sz w:val="20"/>
        </w:rPr>
        <w:t>Reference: AI Voice Calling and WhatsApp Automation System (Proposal dated 18-05-2026)</w:t>
      </w:r>
    </w:p>
    <w:p/>
    <w:tbl>
      <w:tblPr>
        <w:tblW w:type="auto" w:w="0"/>
        <w:tblLook w:firstColumn="1" w:firstRow="1" w:lastColumn="0" w:lastRow="0" w:noHBand="0" w:noVBand="1" w:val="04A0"/>
      </w:tblPr>
      <w:tblGrid>
        <w:gridCol w:w="4320"/>
        <w:gridCol w:w="4320"/>
      </w:tblGrid>
      <w:tr>
        <w:tc>
          <w:tcPr>
            <w:tcW w:type="dxa" w:w="4320"/>
          </w:tcPr>
          <w:p>
            <w:r>
              <w:rPr>
                <w:b/>
              </w:rPr>
              <w:t>Prepared For:</w:t>
              <w:br/>
            </w:r>
            <w:r>
              <w:t>Veerox Software</w:t>
              <w:br/>
              <w:t>H-16, Sector-A, Royal Residency,</w:t>
              <w:br/>
              <w:t>Bawadia Kalan, Bhopal, Madhya Pradesh</w:t>
            </w:r>
          </w:p>
        </w:tc>
        <w:tc>
          <w:tcPr>
            <w:tcW w:type="dxa" w:w="4320"/>
          </w:tcPr>
          <w:p>
            <w:r>
              <w:rPr>
                <w:b/>
              </w:rPr>
              <w:t>Prepared By:</w:t>
              <w:br/>
            </w:r>
            <w:r>
              <w:t>ADRS Techno Pvt. Ltd.</w:t>
              <w:br/>
              <w:t>Jabalpur, Madhya Pradesh, India</w:t>
            </w:r>
          </w:p>
        </w:tc>
      </w:tr>
    </w:tbl>
    <w:p/>
    <w:p>
      <w:pPr>
        <w:spacing w:before="240" w:after="160"/>
      </w:pPr>
      <w:r>
        <w:rPr>
          <w:b/>
          <w:color w:val="141414"/>
          <w:sz w:val="26"/>
        </w:rPr>
        <w:t>1. Purpose</w:t>
      </w:r>
    </w:p>
    <w:p>
      <w:pPr>
        <w:spacing w:after="120"/>
      </w:pPr>
      <w:r>
        <w:rPr>
          <w:b w:val="0"/>
          <w:i w:val="0"/>
          <w:sz w:val="22"/>
        </w:rPr>
        <w:t>During the course of development of the AI Voice Calling and WhatsApp Automation System, several modules and capabilities were built into the platform that fall outside the scope of the original proposal (dated 18-05-2026) and its Advanced Features / SaaS Capabilities section (Section 7). As per Section 9 of the original proposal ("Any scope change or additional requirement will be treated as a separate phase or billed additionally"), this document itemizes that additional work and proposes commercial terms for its formal inclusion in the engagement.</w:t>
      </w:r>
    </w:p>
    <w:p>
      <w:pPr>
        <w:spacing w:before="240" w:after="160"/>
      </w:pPr>
      <w:r>
        <w:rPr>
          <w:b/>
          <w:color w:val="141414"/>
          <w:sz w:val="26"/>
        </w:rPr>
        <w:t>2. Additional Scope Delivered (Beyond Original Proposal)</w:t>
      </w:r>
    </w:p>
    <w:p>
      <w:pPr>
        <w:spacing w:after="40"/>
      </w:pPr>
      <w:r>
        <w:rPr>
          <w:b/>
          <w:i w:val="0"/>
          <w:sz w:val="23"/>
        </w:rPr>
        <w:t>2.1 CRM Module</w:t>
      </w:r>
    </w:p>
    <w:p>
      <w:pPr>
        <w:pStyle w:val="ListBullet"/>
        <w:spacing w:after="60"/>
      </w:pPr>
      <w:r>
        <w:rPr>
          <w:sz w:val="21"/>
        </w:rPr>
        <w:t>Dedicated Contacts entity, separate from Leads, with tagging and company fields</w:t>
      </w:r>
    </w:p>
    <w:p>
      <w:pPr>
        <w:pStyle w:val="ListBullet"/>
        <w:spacing w:after="60"/>
      </w:pPr>
      <w:r>
        <w:rPr>
          <w:sz w:val="21"/>
        </w:rPr>
        <w:t>Contact-to-lead linkage and relationship management</w:t>
      </w:r>
    </w:p>
    <w:p>
      <w:pPr>
        <w:spacing w:after="40"/>
      </w:pPr>
    </w:p>
    <w:p>
      <w:pPr>
        <w:spacing w:after="40"/>
      </w:pPr>
      <w:r>
        <w:rPr>
          <w:b/>
          <w:i w:val="0"/>
          <w:sz w:val="23"/>
        </w:rPr>
        <w:t>2.2 Appointment / Scheduling System</w:t>
      </w:r>
    </w:p>
    <w:p>
      <w:pPr>
        <w:pStyle w:val="ListBullet"/>
        <w:spacing w:after="60"/>
      </w:pPr>
      <w:r>
        <w:rPr>
          <w:sz w:val="21"/>
        </w:rPr>
        <w:t>Full appointment booking workflow tied to contacts and leads</w:t>
      </w:r>
    </w:p>
    <w:p>
      <w:pPr>
        <w:pStyle w:val="ListBullet"/>
        <w:spacing w:after="60"/>
      </w:pPr>
      <w:r>
        <w:rPr>
          <w:sz w:val="21"/>
        </w:rPr>
        <w:t>Create, list, filter, and update appointments with assigned-user tracking</w:t>
      </w:r>
    </w:p>
    <w:p>
      <w:pPr>
        <w:spacing w:after="40"/>
      </w:pPr>
    </w:p>
    <w:p>
      <w:pPr>
        <w:spacing w:after="40"/>
      </w:pPr>
      <w:r>
        <w:rPr>
          <w:b/>
          <w:i w:val="0"/>
          <w:sz w:val="23"/>
        </w:rPr>
        <w:t>2.3 Sales Pipeline Dashboard</w:t>
      </w:r>
    </w:p>
    <w:p>
      <w:pPr>
        <w:pStyle w:val="ListBullet"/>
        <w:spacing w:after="60"/>
      </w:pPr>
      <w:r>
        <w:rPr>
          <w:sz w:val="21"/>
        </w:rPr>
        <w:t>Deal-value-weighted pipeline view by status</w:t>
      </w:r>
    </w:p>
    <w:p>
      <w:pPr>
        <w:pStyle w:val="ListBullet"/>
        <w:spacing w:after="60"/>
      </w:pPr>
      <w:r>
        <w:rPr>
          <w:sz w:val="21"/>
        </w:rPr>
        <w:t>Revenue summary and channel-wise breakdown</w:t>
      </w:r>
    </w:p>
    <w:p>
      <w:pPr>
        <w:pStyle w:val="ListBullet"/>
        <w:spacing w:after="60"/>
      </w:pPr>
      <w:r>
        <w:rPr>
          <w:sz w:val="21"/>
        </w:rPr>
        <w:t>Lead qualification funnel analytics</w:t>
      </w:r>
    </w:p>
    <w:p>
      <w:pPr>
        <w:spacing w:after="40"/>
      </w:pPr>
    </w:p>
    <w:p>
      <w:pPr>
        <w:spacing w:after="40"/>
      </w:pPr>
      <w:r>
        <w:rPr>
          <w:b/>
          <w:i w:val="0"/>
          <w:sz w:val="23"/>
        </w:rPr>
        <w:t>2.4 Follow-up Rule Engine</w:t>
      </w:r>
    </w:p>
    <w:p>
      <w:pPr>
        <w:pStyle w:val="ListBullet"/>
        <w:spacing w:after="60"/>
      </w:pPr>
      <w:r>
        <w:rPr>
          <w:sz w:val="21"/>
        </w:rPr>
        <w:t>Configurable, trigger-based automation rules (beyond simple broadcast sequences)</w:t>
      </w:r>
    </w:p>
    <w:p>
      <w:pPr>
        <w:pStyle w:val="ListBullet"/>
        <w:spacing w:after="60"/>
      </w:pPr>
      <w:r>
        <w:rPr>
          <w:sz w:val="21"/>
        </w:rPr>
        <w:t>Rule and task management with cancel/override capability</w:t>
      </w:r>
    </w:p>
    <w:p>
      <w:pPr>
        <w:spacing w:after="40"/>
      </w:pPr>
    </w:p>
    <w:p>
      <w:pPr>
        <w:spacing w:after="40"/>
      </w:pPr>
      <w:r>
        <w:rPr>
          <w:b/>
          <w:i w:val="0"/>
          <w:sz w:val="23"/>
        </w:rPr>
        <w:t>2.5 Bulk Lead Import / Export</w:t>
      </w:r>
    </w:p>
    <w:p>
      <w:pPr>
        <w:pStyle w:val="ListBullet"/>
        <w:spacing w:after="60"/>
      </w:pPr>
      <w:r>
        <w:rPr>
          <w:sz w:val="21"/>
        </w:rPr>
        <w:t>CSV/XLSX bulk lead import with downloadable sample templates</w:t>
      </w:r>
    </w:p>
    <w:p>
      <w:pPr>
        <w:pStyle w:val="ListBullet"/>
        <w:spacing w:after="60"/>
      </w:pPr>
      <w:r>
        <w:rPr>
          <w:sz w:val="21"/>
        </w:rPr>
        <w:t>Automatic campaign creation on import</w:t>
      </w:r>
    </w:p>
    <w:p>
      <w:pPr>
        <w:pStyle w:val="ListBullet"/>
        <w:spacing w:after="60"/>
      </w:pPr>
      <w:r>
        <w:rPr>
          <w:sz w:val="21"/>
        </w:rPr>
        <w:t>CSV export of lead data</w:t>
      </w:r>
    </w:p>
    <w:p>
      <w:pPr>
        <w:spacing w:after="40"/>
      </w:pPr>
    </w:p>
    <w:p>
      <w:pPr>
        <w:spacing w:after="40"/>
      </w:pPr>
      <w:r>
        <w:rPr>
          <w:b/>
          <w:i w:val="0"/>
          <w:sz w:val="23"/>
        </w:rPr>
        <w:t>2.6 AI Conversation Summarization</w:t>
      </w:r>
    </w:p>
    <w:p>
      <w:pPr>
        <w:pStyle w:val="ListBullet"/>
        <w:spacing w:after="60"/>
      </w:pPr>
      <w:r>
        <w:rPr>
          <w:sz w:val="21"/>
        </w:rPr>
        <w:t>On-demand LLM-generated summary of any call/chat transcript for sales rep review</w:t>
      </w:r>
    </w:p>
    <w:p>
      <w:pPr>
        <w:spacing w:after="40"/>
      </w:pPr>
    </w:p>
    <w:p>
      <w:pPr>
        <w:spacing w:after="40"/>
      </w:pPr>
      <w:r>
        <w:rPr>
          <w:b/>
          <w:i w:val="0"/>
          <w:sz w:val="23"/>
        </w:rPr>
        <w:t>2.7 Kill Switch &amp; Escalation Queue</w:t>
      </w:r>
    </w:p>
    <w:p>
      <w:pPr>
        <w:pStyle w:val="ListBullet"/>
        <w:spacing w:after="60"/>
      </w:pPr>
      <w:r>
        <w:rPr>
          <w:sz w:val="21"/>
        </w:rPr>
        <w:t>Global emergency stop for all AI calling and messaging activity</w:t>
      </w:r>
    </w:p>
    <w:p>
      <w:pPr>
        <w:pStyle w:val="ListBullet"/>
        <w:spacing w:after="60"/>
      </w:pPr>
      <w:r>
        <w:rPr>
          <w:sz w:val="21"/>
        </w:rPr>
        <w:t>Live escalation queue enabling human takeover of AI-handled conversations</w:t>
      </w:r>
    </w:p>
    <w:p>
      <w:pPr>
        <w:spacing w:after="40"/>
      </w:pPr>
    </w:p>
    <w:p>
      <w:pPr>
        <w:spacing w:after="40"/>
      </w:pPr>
      <w:r>
        <w:rPr>
          <w:b/>
          <w:i w:val="0"/>
          <w:sz w:val="23"/>
        </w:rPr>
        <w:t>2.8 Extended Analytics &amp; Reporting</w:t>
      </w:r>
    </w:p>
    <w:p>
      <w:pPr>
        <w:pStyle w:val="ListBullet"/>
        <w:spacing w:after="60"/>
      </w:pPr>
      <w:r>
        <w:rPr>
          <w:sz w:val="21"/>
        </w:rPr>
        <w:t>30 to 365-day historical trend reporting across calls, WhatsApp messages, and leads</w:t>
      </w:r>
    </w:p>
    <w:p>
      <w:pPr>
        <w:pStyle w:val="ListBullet"/>
        <w:spacing w:after="60"/>
      </w:pPr>
      <w:r>
        <w:rPr>
          <w:sz w:val="21"/>
        </w:rPr>
        <w:t>Qualification rate and spend tracking over time, beyond the originally proposed revenue dashboard</w:t>
      </w:r>
    </w:p>
    <w:p>
      <w:pPr>
        <w:spacing w:after="40"/>
      </w:pPr>
    </w:p>
    <w:p>
      <w:pPr>
        <w:spacing w:after="40"/>
      </w:pPr>
      <w:r>
        <w:rPr>
          <w:b/>
          <w:i w:val="0"/>
          <w:sz w:val="23"/>
        </w:rPr>
        <w:t>2.9 Token-Based Usage Billing &amp; Limit Enforcement</w:t>
      </w:r>
    </w:p>
    <w:p>
      <w:pPr>
        <w:pStyle w:val="ListBullet"/>
        <w:spacing w:after="60"/>
      </w:pPr>
      <w:r>
        <w:rPr>
          <w:sz w:val="21"/>
        </w:rPr>
        <w:t>Per-org LLM token consumption tracking (input/output tokens), alongside call-minutes and message counts</w:t>
      </w:r>
    </w:p>
    <w:p>
      <w:pPr>
        <w:pStyle w:val="ListBullet"/>
        <w:spacing w:after="60"/>
      </w:pPr>
      <w:r>
        <w:rPr>
          <w:sz w:val="21"/>
        </w:rPr>
        <w:t>Plan-limit enforcement extended to token usage, not just call-minutes/messages as originally scoped</w:t>
      </w:r>
    </w:p>
    <w:p>
      <w:pPr>
        <w:spacing w:after="40"/>
      </w:pPr>
    </w:p>
    <w:p>
      <w:pPr>
        <w:spacing w:after="120"/>
      </w:pPr>
      <w:r>
        <w:rPr>
          <w:b w:val="0"/>
          <w:i/>
          <w:sz w:val="19"/>
        </w:rPr>
        <w:t>Note: This document excludes items related to authentication/account management, team management, and payment/billing integration, as those are considered substantially covered under Section 7.1 and 7.2 of the original proposal.</w:t>
      </w:r>
    </w:p>
    <w:p>
      <w:pPr>
        <w:spacing w:before="240" w:after="160"/>
      </w:pPr>
      <w:r>
        <w:rPr>
          <w:b/>
          <w:color w:val="141414"/>
          <w:sz w:val="26"/>
        </w:rPr>
        <w:t>3. Commercials</w:t>
      </w:r>
    </w:p>
    <w:p>
      <w:pPr>
        <w:spacing w:after="40"/>
      </w:pPr>
      <w:r>
        <w:rPr>
          <w:b/>
          <w:i w:val="0"/>
          <w:sz w:val="22"/>
        </w:rPr>
        <w:t>Additional Development Cost (One-Time)</w:t>
      </w:r>
    </w:p>
    <w:p>
      <w:pPr>
        <w:spacing w:after="200"/>
      </w:pPr>
      <w:r>
        <w:rPr>
          <w:b w:val="0"/>
          <w:i w:val="0"/>
          <w:sz w:val="22"/>
        </w:rPr>
        <w:t>INR ________ (________ Rupees Only)</w:t>
      </w:r>
    </w:p>
    <w:p>
      <w:pPr>
        <w:spacing w:after="40"/>
      </w:pPr>
      <w:r>
        <w:rPr>
          <w:b/>
          <w:i w:val="0"/>
          <w:sz w:val="22"/>
        </w:rPr>
        <w:t>Payment Milestones</w:t>
      </w:r>
    </w:p>
    <w:p>
      <w:pPr>
        <w:pStyle w:val="ListBullet"/>
        <w:spacing w:after="60"/>
      </w:pPr>
      <w:r>
        <w:rPr>
          <w:sz w:val="21"/>
        </w:rPr>
        <w:t>50% advance payment at the time of change order approval</w:t>
      </w:r>
    </w:p>
    <w:p>
      <w:pPr>
        <w:pStyle w:val="ListBullet"/>
        <w:spacing w:after="60"/>
      </w:pPr>
      <w:r>
        <w:rPr>
          <w:sz w:val="21"/>
        </w:rPr>
        <w:t>50% upon successful completion and handover of the additional modules</w:t>
      </w:r>
    </w:p>
    <w:p/>
    <w:p>
      <w:pPr>
        <w:spacing w:after="120"/>
      </w:pPr>
      <w:r>
        <w:rPr>
          <w:b w:val="0"/>
          <w:i/>
          <w:sz w:val="19"/>
        </w:rPr>
        <w:t>Note: The above development cost is strictly for development services only. Any third-party charges such as APIs, server hosting, or other external services will be borne separately by the client. Final cost may vary depending on additional features, integrations, and scaling requirements.</w:t>
      </w:r>
    </w:p>
    <w:p>
      <w:pPr>
        <w:spacing w:before="240" w:after="160"/>
      </w:pPr>
      <w:r>
        <w:rPr>
          <w:b/>
          <w:color w:val="141414"/>
          <w:sz w:val="26"/>
        </w:rPr>
        <w:t>4. Delivery Timeline</w:t>
      </w:r>
    </w:p>
    <w:p>
      <w:pPr>
        <w:pStyle w:val="ListBullet"/>
        <w:spacing w:after="60"/>
      </w:pPr>
      <w:r>
        <w:rPr>
          <w:sz w:val="21"/>
        </w:rPr>
        <w:t>Development Phase: 9 days</w:t>
      </w:r>
    </w:p>
    <w:p>
      <w:pPr>
        <w:pStyle w:val="ListBullet"/>
        <w:spacing w:after="60"/>
      </w:pPr>
      <w:r>
        <w:rPr>
          <w:sz w:val="21"/>
        </w:rPr>
        <w:t>Testing and Deployment: 2 days</w:t>
      </w:r>
    </w:p>
    <w:p/>
    <w:p>
      <w:pPr>
        <w:spacing w:before="240" w:after="160"/>
      </w:pPr>
      <w:r>
        <w:rPr>
          <w:b/>
          <w:color w:val="141414"/>
          <w:sz w:val="26"/>
        </w:rPr>
        <w:t>5. Terms &amp; Conditions</w:t>
      </w:r>
    </w:p>
    <w:p>
      <w:pPr>
        <w:pStyle w:val="ListBullet"/>
        <w:spacing w:after="60"/>
      </w:pPr>
      <w:r>
        <w:rPr>
          <w:sz w:val="21"/>
        </w:rPr>
        <w:t>All terms of the original proposal dated 18-05-2026 (source code ownership, SaaS/resale rights, 45-day post-delivery support, no vendor lock-in, documentation) apply equally to this additional scope.</w:t>
      </w:r>
    </w:p>
    <w:p>
      <w:pPr>
        <w:pStyle w:val="ListBullet"/>
        <w:spacing w:after="60"/>
      </w:pPr>
      <w:r>
        <w:rPr>
          <w:sz w:val="21"/>
        </w:rPr>
        <w:t>This additional scope will be treated as a separate phase and does not extend the timeline committed in the original proposal.</w:t>
      </w:r>
    </w:p>
    <w:p>
      <w:pPr>
        <w:pStyle w:val="ListBullet"/>
        <w:spacing w:after="60"/>
      </w:pPr>
      <w:r>
        <w:rPr>
          <w:sz w:val="21"/>
        </w:rPr>
        <w:t>Any further scope change beyond what is listed in Section 2 will require a separate change order.</w:t>
      </w:r>
    </w:p>
    <w:p>
      <w:pPr>
        <w:pStyle w:val="ListBullet"/>
        <w:spacing w:after="60"/>
      </w:pPr>
      <w:r>
        <w:rPr>
          <w:sz w:val="21"/>
        </w:rPr>
        <w:t>Delays caused by delayed client feedback/approvals or third-party services will extend the 10-day timeline accordingly and will not be the responsibility of the service provider.</w:t>
      </w:r>
    </w:p>
    <w:p/>
    <w:p>
      <w:pPr>
        <w:spacing w:before="240" w:after="160"/>
      </w:pPr>
      <w:r>
        <w:rPr>
          <w:b/>
          <w:color w:val="141414"/>
          <w:sz w:val="26"/>
        </w:rPr>
        <w:t>6. Approval and Sign-Off</w:t>
      </w:r>
    </w:p>
    <w:tbl>
      <w:tblPr>
        <w:tblW w:type="auto" w:w="0"/>
        <w:tblLook w:firstColumn="1" w:firstRow="1" w:lastColumn="0" w:lastRow="0" w:noHBand="0" w:noVBand="1" w:val="04A0"/>
      </w:tblPr>
      <w:tblGrid>
        <w:gridCol w:w="4320"/>
        <w:gridCol w:w="4320"/>
      </w:tblGrid>
      <w:tr>
        <w:tc>
          <w:tcPr>
            <w:tcW w:type="dxa" w:w="4320"/>
          </w:tcPr>
          <w:p>
            <w:r>
              <w:rPr>
                <w:b/>
              </w:rPr>
              <w:t>Client: Veerox Software</w:t>
              <w:br/>
              <w:br/>
            </w:r>
            <w:r>
              <w:t>Authorized Signatory: ______________________</w:t>
              <w:br/>
            </w:r>
            <w:r>
              <w:t>Name: ______________________</w:t>
              <w:br/>
            </w:r>
            <w:r>
              <w:t>Designation: ______________________</w:t>
              <w:br/>
            </w:r>
            <w:r>
              <w:t>Date: ______________________</w:t>
            </w:r>
          </w:p>
        </w:tc>
        <w:tc>
          <w:tcPr>
            <w:tcW w:type="dxa" w:w="4320"/>
          </w:tcPr>
          <w:p>
            <w:r>
              <w:rPr>
                <w:b/>
              </w:rPr>
              <w:t>ADRS Techno Pvt. Ltd.</w:t>
              <w:br/>
              <w:br/>
            </w:r>
            <w:r>
              <w:t>Director: Mr. Abhishek Dubey</w:t>
              <w:br/>
            </w:r>
            <w:r>
              <w:t>Date: ______________________</w:t>
            </w:r>
          </w:p>
        </w:tc>
      </w:tr>
    </w:tbl>
    <w:p/>
    <w:p>
      <w:pPr>
        <w:jc w:val="center"/>
      </w:pPr>
      <w:r>
        <w:rPr>
          <w:i/>
          <w:sz w:val="18"/>
        </w:rPr>
        <w:t>adrstechno.com | +91 9201347033 | support@adrstechno.com</w:t>
      </w:r>
    </w:p>
    <w:p>
      <w:pPr>
        <w:jc w:val="center"/>
      </w:pPr>
      <w:r>
        <w:rPr>
          <w:i/>
          <w:sz w:val="18"/>
        </w:rPr>
        <w:t>71, Dadda Nagar, Near Katangi Bypass, Jabalpur, 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