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7FEF4" w14:textId="5FEDDA04" w:rsidR="009746FC" w:rsidRPr="00200F57" w:rsidRDefault="00200F57" w:rsidP="00200F57">
      <w:pPr>
        <w:pStyle w:val="Heading1"/>
        <w:rPr>
          <w:color w:val="1F3864" w:themeColor="accent1" w:themeShade="80"/>
          <w:sz w:val="40"/>
          <w:szCs w:val="40"/>
        </w:rPr>
      </w:pPr>
      <w:r w:rsidRPr="00200F57">
        <w:rPr>
          <w:color w:val="1F3864" w:themeColor="accent1" w:themeShade="80"/>
          <w:sz w:val="40"/>
          <w:szCs w:val="40"/>
        </w:rPr>
        <w:t>Fusing Aditya-L1 X-ray and SWIS Data</w:t>
      </w:r>
    </w:p>
    <w:p w14:paraId="7ADEF86D" w14:textId="0FEF17FC" w:rsidR="009746FC" w:rsidRDefault="00200F57">
      <w:pPr>
        <w:pStyle w:val="Heading1"/>
        <w:pBdr>
          <w:bottom w:val="single" w:sz="6" w:space="4" w:color="1F4E79"/>
        </w:pBdr>
        <w:spacing w:before="360" w:after="160"/>
      </w:pPr>
      <w:r>
        <w:rPr>
          <w:b/>
          <w:bCs/>
          <w:color w:val="1F4E79"/>
          <w:sz w:val="30"/>
          <w:szCs w:val="30"/>
        </w:rPr>
        <w:t>Summary</w:t>
      </w:r>
    </w:p>
    <w:p w14:paraId="56ED7238" w14:textId="29081C8E" w:rsidR="009746FC" w:rsidRDefault="00200F57">
      <w:pPr>
        <w:spacing w:after="160" w:line="276" w:lineRule="auto"/>
      </w:pPr>
      <w:r>
        <w:rPr>
          <w:sz w:val="22"/>
          <w:szCs w:val="22"/>
        </w:rPr>
        <w:t>Space weather events,</w:t>
      </w:r>
      <w:r>
        <w:rPr>
          <w:sz w:val="22"/>
          <w:szCs w:val="22"/>
        </w:rPr>
        <w:t xml:space="preserve"> solar flares and coronal mass ejections (CMEs) </w:t>
      </w:r>
      <w:r>
        <w:rPr>
          <w:sz w:val="22"/>
          <w:szCs w:val="22"/>
        </w:rPr>
        <w:t>can disrupt satellite operations, GPS accuracy, high-frequency communications, and power grids. By integrating</w:t>
      </w:r>
      <w:r>
        <w:rPr>
          <w:sz w:val="22"/>
          <w:szCs w:val="22"/>
        </w:rPr>
        <w:t xml:space="preserve">, machine-learning-driven prediction platform that fuses X-ray observations from Aditya-L1's </w:t>
      </w:r>
      <w:proofErr w:type="spellStart"/>
      <w:r>
        <w:rPr>
          <w:sz w:val="22"/>
          <w:szCs w:val="22"/>
        </w:rPr>
        <w:t>SoLEXS</w:t>
      </w:r>
      <w:proofErr w:type="spellEnd"/>
      <w:r>
        <w:rPr>
          <w:sz w:val="22"/>
          <w:szCs w:val="22"/>
        </w:rPr>
        <w:t xml:space="preserve"> and HEL1OS instruments with in-situ solar wind measurements from SWIS. By combi</w:t>
      </w:r>
      <w:r>
        <w:rPr>
          <w:sz w:val="22"/>
          <w:szCs w:val="22"/>
        </w:rPr>
        <w:t>ning complementary physical signals — electromagnetic precursors from X-ray flux and particle-based precursors from solar wind — the system aims to deliver earlier warnings, fewer false alarms, and a quantified, calibrated risk score suitable for operation</w:t>
      </w:r>
      <w:r>
        <w:rPr>
          <w:sz w:val="22"/>
          <w:szCs w:val="22"/>
        </w:rPr>
        <w:t>al use.</w:t>
      </w:r>
    </w:p>
    <w:p w14:paraId="3783431F" w14:textId="3969A5EA" w:rsidR="009746FC" w:rsidRDefault="00200F57">
      <w:pPr>
        <w:pStyle w:val="Heading1"/>
        <w:pBdr>
          <w:bottom w:val="single" w:sz="6" w:space="4" w:color="1F4E79"/>
        </w:pBdr>
        <w:spacing w:before="360" w:after="160"/>
      </w:pPr>
      <w:r>
        <w:rPr>
          <w:b/>
          <w:bCs/>
          <w:color w:val="1F4E79"/>
          <w:sz w:val="30"/>
          <w:szCs w:val="30"/>
        </w:rPr>
        <w:t>Data Sources</w:t>
      </w:r>
    </w:p>
    <w:p w14:paraId="41B2D880" w14:textId="77777777" w:rsidR="009746FC" w:rsidRDefault="00200F57">
      <w:pPr>
        <w:pStyle w:val="ListParagraph"/>
        <w:numPr>
          <w:ilvl w:val="0"/>
          <w:numId w:val="2"/>
        </w:numPr>
        <w:spacing w:after="90" w:line="264" w:lineRule="auto"/>
      </w:pPr>
      <w:proofErr w:type="spellStart"/>
      <w:r>
        <w:rPr>
          <w:b/>
          <w:bCs/>
          <w:color w:val="2E75B6"/>
          <w:sz w:val="22"/>
          <w:szCs w:val="22"/>
        </w:rPr>
        <w:t>SoLEXS</w:t>
      </w:r>
      <w:proofErr w:type="spellEnd"/>
      <w:r>
        <w:rPr>
          <w:b/>
          <w:bCs/>
          <w:color w:val="2E75B6"/>
          <w:sz w:val="22"/>
          <w:szCs w:val="22"/>
        </w:rPr>
        <w:t xml:space="preserve"> (Solar X-ray Spectrometer): </w:t>
      </w:r>
      <w:r>
        <w:rPr>
          <w:sz w:val="22"/>
          <w:szCs w:val="22"/>
        </w:rPr>
        <w:t>measures soft X-ray flux, an early indicator of solar flare onset and intensity, providing rapid electromagnetic precursor signals.</w:t>
      </w:r>
    </w:p>
    <w:p w14:paraId="052870FC" w14:textId="77777777" w:rsidR="009746FC" w:rsidRDefault="00200F57">
      <w:pPr>
        <w:pStyle w:val="ListParagraph"/>
        <w:numPr>
          <w:ilvl w:val="0"/>
          <w:numId w:val="2"/>
        </w:numPr>
        <w:spacing w:after="90" w:line="264" w:lineRule="auto"/>
      </w:pPr>
      <w:r>
        <w:rPr>
          <w:b/>
          <w:bCs/>
          <w:color w:val="2E75B6"/>
          <w:sz w:val="22"/>
          <w:szCs w:val="22"/>
        </w:rPr>
        <w:t>HEL1OS (High Energy L1 Orbiting X-ray S</w:t>
      </w:r>
      <w:r>
        <w:rPr>
          <w:b/>
          <w:bCs/>
          <w:color w:val="2E75B6"/>
          <w:sz w:val="22"/>
          <w:szCs w:val="22"/>
        </w:rPr>
        <w:t xml:space="preserve">pectrometer): </w:t>
      </w:r>
      <w:r>
        <w:rPr>
          <w:sz w:val="22"/>
          <w:szCs w:val="22"/>
        </w:rPr>
        <w:t>extends coverage into higher-energy X-rays, improving sensitivity to flare classification and intensity grading.</w:t>
      </w:r>
    </w:p>
    <w:p w14:paraId="7B8315C9" w14:textId="77777777" w:rsidR="009746FC" w:rsidRDefault="00200F57">
      <w:pPr>
        <w:pStyle w:val="ListParagraph"/>
        <w:numPr>
          <w:ilvl w:val="0"/>
          <w:numId w:val="2"/>
        </w:numPr>
        <w:spacing w:after="90" w:line="264" w:lineRule="auto"/>
      </w:pPr>
      <w:r>
        <w:rPr>
          <w:b/>
          <w:bCs/>
          <w:color w:val="2E75B6"/>
          <w:sz w:val="22"/>
          <w:szCs w:val="22"/>
        </w:rPr>
        <w:t xml:space="preserve">SWIS (Solar Wind Ion Spectrometer): </w:t>
      </w:r>
      <w:r>
        <w:rPr>
          <w:sz w:val="22"/>
          <w:szCs w:val="22"/>
        </w:rPr>
        <w:t>provides in-situ measurements of solar wind speed, density, and temperature, which are the pr</w:t>
      </w:r>
      <w:r>
        <w:rPr>
          <w:sz w:val="22"/>
          <w:szCs w:val="22"/>
        </w:rPr>
        <w:t>imary observable for CME arrival and geomagnetic impact.</w:t>
      </w:r>
    </w:p>
    <w:p w14:paraId="6EE7C098" w14:textId="77777777" w:rsidR="009746FC" w:rsidRDefault="00200F57">
      <w:pPr>
        <w:spacing w:after="160" w:line="276" w:lineRule="auto"/>
      </w:pPr>
      <w:r>
        <w:rPr>
          <w:sz w:val="22"/>
          <w:szCs w:val="22"/>
        </w:rPr>
        <w:t>Because flares and CMEs propagate on different timescales and are captured by physically distinct instruments, no single data source captures the full picture. The integrated design treats these as c</w:t>
      </w:r>
      <w:r>
        <w:rPr>
          <w:sz w:val="22"/>
          <w:szCs w:val="22"/>
        </w:rPr>
        <w:t>omplementary channels that are fused at the model level rather than the sensor level, preserving the individual predictive strength of each instrument while combining their outputs into one operational risk signal.</w:t>
      </w:r>
    </w:p>
    <w:p w14:paraId="4BD47BBB" w14:textId="50C9AD01" w:rsidR="009746FC" w:rsidRDefault="00200F57">
      <w:pPr>
        <w:pStyle w:val="Heading1"/>
        <w:pBdr>
          <w:bottom w:val="single" w:sz="6" w:space="4" w:color="1F4E79"/>
        </w:pBdr>
        <w:spacing w:before="360" w:after="160"/>
      </w:pPr>
      <w:r>
        <w:rPr>
          <w:b/>
          <w:bCs/>
          <w:color w:val="1F4E79"/>
          <w:sz w:val="30"/>
          <w:szCs w:val="30"/>
        </w:rPr>
        <w:t>Proposed</w:t>
      </w:r>
      <w:r>
        <w:rPr>
          <w:b/>
          <w:bCs/>
          <w:color w:val="1F4E79"/>
          <w:sz w:val="30"/>
          <w:szCs w:val="30"/>
        </w:rPr>
        <w:t xml:space="preserve"> Workflow</w:t>
      </w:r>
    </w:p>
    <w:p w14:paraId="3A5BF599" w14:textId="77777777" w:rsidR="009746FC" w:rsidRDefault="00200F57">
      <w:pPr>
        <w:pStyle w:val="ListParagraph"/>
        <w:numPr>
          <w:ilvl w:val="0"/>
          <w:numId w:val="2"/>
        </w:numPr>
        <w:spacing w:after="90" w:line="264" w:lineRule="auto"/>
      </w:pPr>
      <w:r>
        <w:rPr>
          <w:b/>
          <w:bCs/>
          <w:color w:val="2E75B6"/>
          <w:sz w:val="22"/>
          <w:szCs w:val="22"/>
        </w:rPr>
        <w:t xml:space="preserve">Data acquisition: </w:t>
      </w:r>
      <w:r>
        <w:rPr>
          <w:sz w:val="22"/>
          <w:szCs w:val="22"/>
        </w:rPr>
        <w:t>Ingest raw X-ray flux data (</w:t>
      </w:r>
      <w:proofErr w:type="spellStart"/>
      <w:r>
        <w:rPr>
          <w:sz w:val="22"/>
          <w:szCs w:val="22"/>
        </w:rPr>
        <w:t>SoLEXS</w:t>
      </w:r>
      <w:proofErr w:type="spellEnd"/>
      <w:r>
        <w:rPr>
          <w:sz w:val="22"/>
          <w:szCs w:val="22"/>
        </w:rPr>
        <w:t>, HEL1OS) and solar wind parameters (SWIS) from Aditya-L1 telemetry feeds</w:t>
      </w:r>
      <w:r>
        <w:rPr>
          <w:sz w:val="22"/>
          <w:szCs w:val="22"/>
        </w:rPr>
        <w:t>, including metadata on instrument mode and data quality flags.</w:t>
      </w:r>
    </w:p>
    <w:p w14:paraId="74E9CAF7" w14:textId="77777777" w:rsidR="009746FC" w:rsidRDefault="00200F57">
      <w:pPr>
        <w:pStyle w:val="ListParagraph"/>
        <w:numPr>
          <w:ilvl w:val="0"/>
          <w:numId w:val="2"/>
        </w:numPr>
        <w:spacing w:after="90" w:line="264" w:lineRule="auto"/>
      </w:pPr>
      <w:r>
        <w:rPr>
          <w:b/>
          <w:bCs/>
          <w:color w:val="2E75B6"/>
          <w:sz w:val="22"/>
          <w:szCs w:val="22"/>
        </w:rPr>
        <w:t xml:space="preserve">Synchronization and </w:t>
      </w:r>
      <w:proofErr w:type="spellStart"/>
      <w:r>
        <w:rPr>
          <w:b/>
          <w:bCs/>
          <w:color w:val="2E75B6"/>
          <w:sz w:val="22"/>
          <w:szCs w:val="22"/>
        </w:rPr>
        <w:t>preprocessing</w:t>
      </w:r>
      <w:proofErr w:type="spellEnd"/>
      <w:r>
        <w:rPr>
          <w:b/>
          <w:bCs/>
          <w:color w:val="2E75B6"/>
          <w:sz w:val="22"/>
          <w:szCs w:val="22"/>
        </w:rPr>
        <w:t xml:space="preserve">: </w:t>
      </w:r>
      <w:r>
        <w:rPr>
          <w:sz w:val="22"/>
          <w:szCs w:val="22"/>
        </w:rPr>
        <w:t>Align all streams to a common time base, resample to a consistent cadence, and clean each source independently (outlier removal, unit normalization, gap hand</w:t>
      </w:r>
      <w:r>
        <w:rPr>
          <w:sz w:val="22"/>
          <w:szCs w:val="22"/>
        </w:rPr>
        <w:t>ling) before any cross-source fusion.</w:t>
      </w:r>
    </w:p>
    <w:p w14:paraId="481C6482" w14:textId="77777777" w:rsidR="009746FC" w:rsidRDefault="00200F57">
      <w:pPr>
        <w:pStyle w:val="ListParagraph"/>
        <w:numPr>
          <w:ilvl w:val="0"/>
          <w:numId w:val="2"/>
        </w:numPr>
        <w:spacing w:after="90" w:line="264" w:lineRule="auto"/>
      </w:pPr>
      <w:r>
        <w:rPr>
          <w:b/>
          <w:bCs/>
          <w:color w:val="2E75B6"/>
          <w:sz w:val="22"/>
          <w:szCs w:val="22"/>
        </w:rPr>
        <w:t xml:space="preserve">Feature engineering: </w:t>
      </w:r>
      <w:r>
        <w:rPr>
          <w:sz w:val="22"/>
          <w:szCs w:val="22"/>
        </w:rPr>
        <w:t xml:space="preserve">Derive physically meaningful features — flux ratios between energy bands, temporal gradients, rolling statistics (mean, variance, skew), and solar wind ratios (e.g., dynamic pressure, </w:t>
      </w:r>
      <w:proofErr w:type="spellStart"/>
      <w:r>
        <w:rPr>
          <w:sz w:val="22"/>
          <w:szCs w:val="22"/>
        </w:rPr>
        <w:t>Alfvén</w:t>
      </w:r>
      <w:proofErr w:type="spellEnd"/>
      <w:r>
        <w:rPr>
          <w:sz w:val="22"/>
          <w:szCs w:val="22"/>
        </w:rPr>
        <w:t xml:space="preserve"> Mach n</w:t>
      </w:r>
      <w:r>
        <w:rPr>
          <w:sz w:val="22"/>
          <w:szCs w:val="22"/>
        </w:rPr>
        <w:t xml:space="preserve">umber) — that encode precursor </w:t>
      </w:r>
      <w:proofErr w:type="spellStart"/>
      <w:r>
        <w:rPr>
          <w:sz w:val="22"/>
          <w:szCs w:val="22"/>
        </w:rPr>
        <w:t>behavior</w:t>
      </w:r>
      <w:proofErr w:type="spellEnd"/>
      <w:r>
        <w:rPr>
          <w:sz w:val="22"/>
          <w:szCs w:val="22"/>
        </w:rPr>
        <w:t xml:space="preserve"> rather than raw amplitude alone.</w:t>
      </w:r>
    </w:p>
    <w:p w14:paraId="0448B5F5" w14:textId="77777777" w:rsidR="009746FC" w:rsidRDefault="00200F57">
      <w:pPr>
        <w:pStyle w:val="ListParagraph"/>
        <w:numPr>
          <w:ilvl w:val="0"/>
          <w:numId w:val="2"/>
        </w:numPr>
        <w:spacing w:after="90" w:line="264" w:lineRule="auto"/>
      </w:pPr>
      <w:r>
        <w:rPr>
          <w:b/>
          <w:bCs/>
          <w:color w:val="2E75B6"/>
          <w:sz w:val="22"/>
          <w:szCs w:val="22"/>
        </w:rPr>
        <w:t xml:space="preserve">X-ray flare prediction model: </w:t>
      </w:r>
      <w:r>
        <w:rPr>
          <w:sz w:val="22"/>
          <w:szCs w:val="22"/>
        </w:rPr>
        <w:t>Train sequence-aware models (LSTM) alongside gradient-boosted trees (</w:t>
      </w:r>
      <w:proofErr w:type="spellStart"/>
      <w:r>
        <w:rPr>
          <w:sz w:val="22"/>
          <w:szCs w:val="22"/>
        </w:rPr>
        <w:t>XGBoost</w:t>
      </w:r>
      <w:proofErr w:type="spellEnd"/>
      <w:r>
        <w:rPr>
          <w:sz w:val="22"/>
          <w:szCs w:val="22"/>
        </w:rPr>
        <w:t>) on the X-ray feature set to classify flare onset probability and expected c</w:t>
      </w:r>
      <w:r>
        <w:rPr>
          <w:sz w:val="22"/>
          <w:szCs w:val="22"/>
        </w:rPr>
        <w:t>lass (C/M/X).</w:t>
      </w:r>
    </w:p>
    <w:p w14:paraId="74792C9A" w14:textId="77777777" w:rsidR="009746FC" w:rsidRDefault="00200F57">
      <w:pPr>
        <w:pStyle w:val="ListParagraph"/>
        <w:numPr>
          <w:ilvl w:val="0"/>
          <w:numId w:val="2"/>
        </w:numPr>
        <w:spacing w:after="90" w:line="264" w:lineRule="auto"/>
      </w:pPr>
      <w:r>
        <w:rPr>
          <w:b/>
          <w:bCs/>
          <w:color w:val="2E75B6"/>
          <w:sz w:val="22"/>
          <w:szCs w:val="22"/>
        </w:rPr>
        <w:t xml:space="preserve">SWIS CME prediction model: </w:t>
      </w:r>
      <w:r>
        <w:rPr>
          <w:sz w:val="22"/>
          <w:szCs w:val="22"/>
        </w:rPr>
        <w:t xml:space="preserve">Train ensemble models (Random Forest, </w:t>
      </w:r>
      <w:proofErr w:type="spellStart"/>
      <w:r>
        <w:rPr>
          <w:sz w:val="22"/>
          <w:szCs w:val="22"/>
        </w:rPr>
        <w:t>XGBoost</w:t>
      </w:r>
      <w:proofErr w:type="spellEnd"/>
      <w:r>
        <w:rPr>
          <w:sz w:val="22"/>
          <w:szCs w:val="22"/>
        </w:rPr>
        <w:t>) on solar wind features to estimate CME likelihood and arrival-time windows.</w:t>
      </w:r>
    </w:p>
    <w:p w14:paraId="67B0FD6A" w14:textId="77777777" w:rsidR="009746FC" w:rsidRDefault="00200F57">
      <w:pPr>
        <w:pStyle w:val="ListParagraph"/>
        <w:numPr>
          <w:ilvl w:val="0"/>
          <w:numId w:val="2"/>
        </w:numPr>
        <w:spacing w:after="90" w:line="264" w:lineRule="auto"/>
      </w:pPr>
      <w:r>
        <w:rPr>
          <w:b/>
          <w:bCs/>
          <w:color w:val="2E75B6"/>
          <w:sz w:val="22"/>
          <w:szCs w:val="22"/>
        </w:rPr>
        <w:t xml:space="preserve">Anomaly detection: </w:t>
      </w:r>
      <w:r>
        <w:rPr>
          <w:sz w:val="22"/>
          <w:szCs w:val="22"/>
        </w:rPr>
        <w:t>Run an Isolation Forest over the combined feature space to flag statistic</w:t>
      </w:r>
      <w:r>
        <w:rPr>
          <w:sz w:val="22"/>
          <w:szCs w:val="22"/>
        </w:rPr>
        <w:t>ally unusual states that point-in-time classifiers might miss, catching novel event signatures.</w:t>
      </w:r>
    </w:p>
    <w:p w14:paraId="0BF6B3E3" w14:textId="77777777" w:rsidR="009746FC" w:rsidRDefault="00200F57">
      <w:pPr>
        <w:pStyle w:val="ListParagraph"/>
        <w:numPr>
          <w:ilvl w:val="0"/>
          <w:numId w:val="2"/>
        </w:numPr>
        <w:spacing w:after="90" w:line="264" w:lineRule="auto"/>
      </w:pPr>
      <w:r>
        <w:rPr>
          <w:b/>
          <w:bCs/>
          <w:color w:val="2E75B6"/>
          <w:sz w:val="22"/>
          <w:szCs w:val="22"/>
        </w:rPr>
        <w:t xml:space="preserve">Model fusion: </w:t>
      </w:r>
      <w:r>
        <w:rPr>
          <w:sz w:val="22"/>
          <w:szCs w:val="22"/>
        </w:rPr>
        <w:t>Combine the flare model, CME model, and anomaly score using a calibrated logistic-regression stacking model that outputs a single, probability-cal</w:t>
      </w:r>
      <w:r>
        <w:rPr>
          <w:sz w:val="22"/>
          <w:szCs w:val="22"/>
        </w:rPr>
        <w:t>ibrated overall risk score.</w:t>
      </w:r>
    </w:p>
    <w:p w14:paraId="125FBFEB" w14:textId="77777777" w:rsidR="009746FC" w:rsidRDefault="00200F57">
      <w:pPr>
        <w:pStyle w:val="ListParagraph"/>
        <w:numPr>
          <w:ilvl w:val="0"/>
          <w:numId w:val="2"/>
        </w:numPr>
        <w:spacing w:after="90" w:line="264" w:lineRule="auto"/>
      </w:pPr>
      <w:r>
        <w:rPr>
          <w:b/>
          <w:bCs/>
          <w:color w:val="2E75B6"/>
          <w:sz w:val="22"/>
          <w:szCs w:val="22"/>
        </w:rPr>
        <w:lastRenderedPageBreak/>
        <w:t xml:space="preserve">Storage and visualization: </w:t>
      </w:r>
      <w:r>
        <w:rPr>
          <w:sz w:val="22"/>
          <w:szCs w:val="22"/>
        </w:rPr>
        <w:t>Persist predictions, model confidence, and raw supporting features in MongoDB; surface them through a React dashboard with time-series views, historical event replay, and drill-down into contributing s</w:t>
      </w:r>
      <w:r>
        <w:rPr>
          <w:sz w:val="22"/>
          <w:szCs w:val="22"/>
        </w:rPr>
        <w:t>ignals.</w:t>
      </w:r>
    </w:p>
    <w:p w14:paraId="7E52538A" w14:textId="77777777" w:rsidR="009746FC" w:rsidRDefault="00200F57">
      <w:pPr>
        <w:pStyle w:val="ListParagraph"/>
        <w:numPr>
          <w:ilvl w:val="0"/>
          <w:numId w:val="2"/>
        </w:numPr>
        <w:spacing w:after="90" w:line="264" w:lineRule="auto"/>
      </w:pPr>
      <w:r>
        <w:rPr>
          <w:b/>
          <w:bCs/>
          <w:color w:val="2E75B6"/>
          <w:sz w:val="22"/>
          <w:szCs w:val="22"/>
        </w:rPr>
        <w:t xml:space="preserve">Alerting: </w:t>
      </w:r>
      <w:r>
        <w:rPr>
          <w:sz w:val="22"/>
          <w:szCs w:val="22"/>
        </w:rPr>
        <w:t>Trigger tiered alerts (advisory / watch / warning) when the fused risk score crosses configurable thresholds, routed to operators via dashboard, email, or downstream API.</w:t>
      </w:r>
    </w:p>
    <w:p w14:paraId="586E624A" w14:textId="1DBD8C13" w:rsidR="00200F57" w:rsidRPr="00200F57" w:rsidRDefault="00200F57">
      <w:pPr>
        <w:pStyle w:val="Heading1"/>
        <w:pBdr>
          <w:bottom w:val="single" w:sz="6" w:space="4" w:color="1F4E79"/>
        </w:pBdr>
        <w:spacing w:before="360" w:after="160"/>
        <w:rPr>
          <w:b/>
          <w:bCs/>
          <w:color w:val="1F4E79"/>
          <w:sz w:val="30"/>
          <w:szCs w:val="30"/>
        </w:rPr>
      </w:pPr>
      <w:r>
        <w:rPr>
          <w:b/>
          <w:bCs/>
          <w:color w:val="1F4E79"/>
          <w:sz w:val="30"/>
          <w:szCs w:val="30"/>
        </w:rPr>
        <w:t>Challenges and Mitigation Strategies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00"/>
      </w:tblGrid>
      <w:tr w:rsidR="009746FC" w14:paraId="56478CC9"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vAlign w:val="center"/>
          </w:tcPr>
          <w:p w14:paraId="6B22D7FD" w14:textId="74EF402F" w:rsidR="009746FC" w:rsidRDefault="00200F57">
            <w:r>
              <w:rPr>
                <w:b/>
                <w:bCs/>
                <w:color w:val="FFFFFF"/>
              </w:rPr>
              <w:t>Challenge</w:t>
            </w:r>
          </w:p>
        </w:tc>
        <w:tc>
          <w:tcPr>
            <w:tcW w:w="2600" w:type="dxa"/>
            <w:shd w:val="clear" w:color="auto" w:fill="1F4E79"/>
            <w:tcMar>
              <w:top w:w="100" w:type="dxa"/>
              <w:left w:w="120" w:type="dxa"/>
              <w:bottom w:w="100" w:type="dxa"/>
              <w:right w:w="120" w:type="dxa"/>
            </w:tcMar>
            <w:vAlign w:val="center"/>
          </w:tcPr>
          <w:p w14:paraId="32C4EFAF" w14:textId="77777777" w:rsidR="009746FC" w:rsidRDefault="00200F57">
            <w:r>
              <w:rPr>
                <w:b/>
                <w:bCs/>
                <w:color w:val="FFFFFF"/>
              </w:rPr>
              <w:t>Imp</w:t>
            </w:r>
            <w:r>
              <w:rPr>
                <w:b/>
                <w:bCs/>
                <w:color w:val="FFFFFF"/>
              </w:rPr>
              <w:t>act</w:t>
            </w:r>
          </w:p>
        </w:tc>
        <w:tc>
          <w:tcPr>
            <w:tcW w:w="4300" w:type="dxa"/>
            <w:shd w:val="clear" w:color="auto" w:fill="1F4E79"/>
            <w:tcMar>
              <w:top w:w="100" w:type="dxa"/>
              <w:left w:w="120" w:type="dxa"/>
              <w:bottom w:w="100" w:type="dxa"/>
              <w:right w:w="120" w:type="dxa"/>
            </w:tcMar>
            <w:vAlign w:val="center"/>
          </w:tcPr>
          <w:p w14:paraId="482BE045" w14:textId="77777777" w:rsidR="009746FC" w:rsidRDefault="00200F57">
            <w:r>
              <w:rPr>
                <w:b/>
                <w:bCs/>
                <w:color w:val="FFFFFF"/>
              </w:rPr>
              <w:t>Mitigation</w:t>
            </w:r>
          </w:p>
        </w:tc>
      </w:tr>
      <w:tr w:rsidR="009746FC" w14:paraId="4080AECF"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11F0CD12" w14:textId="77777777" w:rsidR="009746FC" w:rsidRDefault="00200F57">
            <w:r>
              <w:rPr>
                <w:color w:val="1A1A1A"/>
              </w:rPr>
              <w:t>Heterogeneous data sources and timestamps</w:t>
            </w:r>
          </w:p>
        </w:tc>
        <w:tc>
          <w:tcPr>
            <w:tcW w:w="2600" w:type="dxa"/>
            <w:shd w:val="clear" w:color="auto" w:fill="FFFFFF"/>
            <w:tcMar>
              <w:top w:w="100" w:type="dxa"/>
              <w:left w:w="120" w:type="dxa"/>
              <w:bottom w:w="100" w:type="dxa"/>
              <w:right w:w="120" w:type="dxa"/>
            </w:tcMar>
            <w:vAlign w:val="center"/>
          </w:tcPr>
          <w:p w14:paraId="5DF7DB0B" w14:textId="77777777" w:rsidR="009746FC" w:rsidRDefault="00200F57">
            <w:r>
              <w:rPr>
                <w:color w:val="1A1A1A"/>
              </w:rPr>
              <w:t xml:space="preserve">Misaligned observations reduce accuracy; features derived from </w:t>
            </w:r>
            <w:proofErr w:type="spellStart"/>
            <w:r>
              <w:rPr>
                <w:color w:val="1A1A1A"/>
              </w:rPr>
              <w:t>unsynced</w:t>
            </w:r>
            <w:proofErr w:type="spellEnd"/>
            <w:r>
              <w:rPr>
                <w:color w:val="1A1A1A"/>
              </w:rPr>
              <w:t xml:space="preserve"> signals can mislead models.</w:t>
            </w:r>
          </w:p>
        </w:tc>
        <w:tc>
          <w:tcPr>
            <w:tcW w:w="4300" w:type="dxa"/>
            <w:shd w:val="clear" w:color="auto" w:fill="FFFFFF"/>
            <w:tcMar>
              <w:top w:w="100" w:type="dxa"/>
              <w:left w:w="120" w:type="dxa"/>
              <w:bottom w:w="100" w:type="dxa"/>
              <w:right w:w="120" w:type="dxa"/>
            </w:tcMar>
            <w:vAlign w:val="center"/>
          </w:tcPr>
          <w:p w14:paraId="089B14FC" w14:textId="77777777" w:rsidR="009746FC" w:rsidRDefault="00200F57">
            <w:r>
              <w:rPr>
                <w:color w:val="1A1A1A"/>
              </w:rPr>
              <w:t>Resample all streams to a common cadence (e.g., 1-minute bins); apply timestamp synchronization and UTC normalization at ingestion before any feature engineering.</w:t>
            </w:r>
          </w:p>
        </w:tc>
      </w:tr>
      <w:tr w:rsidR="009746FC" w14:paraId="50034786"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3BF1BEF" w14:textId="77777777" w:rsidR="009746FC" w:rsidRDefault="00200F57">
            <w:r>
              <w:rPr>
                <w:color w:val="1A1A1A"/>
              </w:rPr>
              <w:t>Missing or corrupted telemetry</w:t>
            </w:r>
          </w:p>
        </w:tc>
        <w:tc>
          <w:tcPr>
            <w:tcW w:w="2600" w:type="dxa"/>
            <w:shd w:val="clear" w:color="auto" w:fill="FFFFFF"/>
            <w:tcMar>
              <w:top w:w="100" w:type="dxa"/>
              <w:left w:w="120" w:type="dxa"/>
              <w:bottom w:w="100" w:type="dxa"/>
              <w:right w:w="120" w:type="dxa"/>
            </w:tcMar>
            <w:vAlign w:val="center"/>
          </w:tcPr>
          <w:p w14:paraId="759F6667" w14:textId="77777777" w:rsidR="009746FC" w:rsidRDefault="00200F57">
            <w:r>
              <w:rPr>
                <w:color w:val="1A1A1A"/>
              </w:rPr>
              <w:t>Gaps and sensor dropouts destabilize model inputs and can silently bias training.</w:t>
            </w:r>
          </w:p>
        </w:tc>
        <w:tc>
          <w:tcPr>
            <w:tcW w:w="4300" w:type="dxa"/>
            <w:shd w:val="clear" w:color="auto" w:fill="FFFFFF"/>
            <w:tcMar>
              <w:top w:w="100" w:type="dxa"/>
              <w:left w:w="120" w:type="dxa"/>
              <w:bottom w:w="100" w:type="dxa"/>
              <w:right w:w="120" w:type="dxa"/>
            </w:tcMar>
            <w:vAlign w:val="center"/>
          </w:tcPr>
          <w:p w14:paraId="7F2881AA" w14:textId="77777777" w:rsidR="009746FC" w:rsidRDefault="00200F57">
            <w:r>
              <w:rPr>
                <w:color w:val="1A1A1A"/>
              </w:rPr>
              <w:t>Linear/spline interpolation and forward-fill for short gaps; flag and discard windows with long gaps; log data-quality metrics per orbit pass.</w:t>
            </w:r>
          </w:p>
        </w:tc>
      </w:tr>
      <w:tr w:rsidR="009746FC" w14:paraId="62AA49B9"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8DBC7C2" w14:textId="77777777" w:rsidR="009746FC" w:rsidRDefault="00200F57">
            <w:r>
              <w:rPr>
                <w:color w:val="1A1A1A"/>
              </w:rPr>
              <w:t>Noise in sensor readings</w:t>
            </w:r>
          </w:p>
        </w:tc>
        <w:tc>
          <w:tcPr>
            <w:tcW w:w="2600" w:type="dxa"/>
            <w:shd w:val="clear" w:color="auto" w:fill="FFFFFF"/>
            <w:tcMar>
              <w:top w:w="100" w:type="dxa"/>
              <w:left w:w="120" w:type="dxa"/>
              <w:bottom w:w="100" w:type="dxa"/>
              <w:right w:w="120" w:type="dxa"/>
            </w:tcMar>
            <w:vAlign w:val="center"/>
          </w:tcPr>
          <w:p w14:paraId="128B1C6B" w14:textId="77777777" w:rsidR="009746FC" w:rsidRDefault="00200F57">
            <w:r>
              <w:rPr>
                <w:color w:val="1A1A1A"/>
              </w:rPr>
              <w:t>Raw f</w:t>
            </w:r>
            <w:r>
              <w:rPr>
                <w:color w:val="1A1A1A"/>
              </w:rPr>
              <w:t>luctuations trigger false alarms and obscure genuine precursor signals.</w:t>
            </w:r>
          </w:p>
        </w:tc>
        <w:tc>
          <w:tcPr>
            <w:tcW w:w="4300" w:type="dxa"/>
            <w:shd w:val="clear" w:color="auto" w:fill="FFFFFF"/>
            <w:tcMar>
              <w:top w:w="100" w:type="dxa"/>
              <w:left w:w="120" w:type="dxa"/>
              <w:bottom w:w="100" w:type="dxa"/>
              <w:right w:w="120" w:type="dxa"/>
            </w:tcMar>
            <w:vAlign w:val="center"/>
          </w:tcPr>
          <w:p w14:paraId="7DCDFE86" w14:textId="77777777" w:rsidR="009746FC" w:rsidRDefault="00200F57">
            <w:r>
              <w:rPr>
                <w:color w:val="1A1A1A"/>
              </w:rPr>
              <w:t xml:space="preserve">Apply moving-average, </w:t>
            </w:r>
            <w:proofErr w:type="spellStart"/>
            <w:r>
              <w:rPr>
                <w:color w:val="1A1A1A"/>
              </w:rPr>
              <w:t>Savitzky-Golay</w:t>
            </w:r>
            <w:proofErr w:type="spellEnd"/>
            <w:r>
              <w:rPr>
                <w:color w:val="1A1A1A"/>
              </w:rPr>
              <w:t>, or median filtering tuned to each instrument's noise profile; validate filter choice against known flare/CME events.</w:t>
            </w:r>
          </w:p>
        </w:tc>
      </w:tr>
      <w:tr w:rsidR="009746FC" w14:paraId="4DF1681C"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39DB1F8A" w14:textId="77777777" w:rsidR="009746FC" w:rsidRDefault="00200F57">
            <w:r>
              <w:rPr>
                <w:color w:val="1A1A1A"/>
              </w:rPr>
              <w:t xml:space="preserve">Class imbalance (rare major </w:t>
            </w:r>
            <w:r>
              <w:rPr>
                <w:color w:val="1A1A1A"/>
              </w:rPr>
              <w:t>events)</w:t>
            </w:r>
          </w:p>
        </w:tc>
        <w:tc>
          <w:tcPr>
            <w:tcW w:w="2600" w:type="dxa"/>
            <w:shd w:val="clear" w:color="auto" w:fill="FFFFFF"/>
            <w:tcMar>
              <w:top w:w="100" w:type="dxa"/>
              <w:left w:w="120" w:type="dxa"/>
              <w:bottom w:w="100" w:type="dxa"/>
              <w:right w:w="120" w:type="dxa"/>
            </w:tcMar>
            <w:vAlign w:val="center"/>
          </w:tcPr>
          <w:p w14:paraId="2655C91A" w14:textId="77777777" w:rsidR="009746FC" w:rsidRDefault="00200F57">
            <w:r>
              <w:rPr>
                <w:color w:val="1A1A1A"/>
              </w:rPr>
              <w:t>Severe events are rare, so naive models under-predict the cases that matter most.</w:t>
            </w:r>
          </w:p>
        </w:tc>
        <w:tc>
          <w:tcPr>
            <w:tcW w:w="4300" w:type="dxa"/>
            <w:shd w:val="clear" w:color="auto" w:fill="FFFFFF"/>
            <w:tcMar>
              <w:top w:w="100" w:type="dxa"/>
              <w:left w:w="120" w:type="dxa"/>
              <w:bottom w:w="100" w:type="dxa"/>
              <w:right w:w="120" w:type="dxa"/>
            </w:tcMar>
            <w:vAlign w:val="center"/>
          </w:tcPr>
          <w:p w14:paraId="4410A75D" w14:textId="77777777" w:rsidR="009746FC" w:rsidRDefault="00200F57">
            <w:r>
              <w:rPr>
                <w:color w:val="1A1A1A"/>
              </w:rPr>
              <w:t>Use SMOTE/ADASYN oversampling, class-weighted loss functions, focal loss, and threshold tuning calibrated on a held-out validation set.</w:t>
            </w:r>
          </w:p>
        </w:tc>
      </w:tr>
      <w:tr w:rsidR="009746FC" w14:paraId="797466C6"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4133E565" w14:textId="77777777" w:rsidR="009746FC" w:rsidRDefault="00200F57">
            <w:r>
              <w:rPr>
                <w:color w:val="1A1A1A"/>
              </w:rPr>
              <w:t>Temporal dependencies</w:t>
            </w:r>
          </w:p>
        </w:tc>
        <w:tc>
          <w:tcPr>
            <w:tcW w:w="2600" w:type="dxa"/>
            <w:shd w:val="clear" w:color="auto" w:fill="FFFFFF"/>
            <w:tcMar>
              <w:top w:w="100" w:type="dxa"/>
              <w:left w:w="120" w:type="dxa"/>
              <w:bottom w:w="100" w:type="dxa"/>
              <w:right w:w="120" w:type="dxa"/>
            </w:tcMar>
            <w:vAlign w:val="center"/>
          </w:tcPr>
          <w:p w14:paraId="7EF42AC1" w14:textId="77777777" w:rsidR="009746FC" w:rsidRDefault="00200F57">
            <w:r>
              <w:rPr>
                <w:color w:val="1A1A1A"/>
              </w:rPr>
              <w:t>Static,</w:t>
            </w:r>
            <w:r>
              <w:rPr>
                <w:color w:val="1A1A1A"/>
              </w:rPr>
              <w:t xml:space="preserve"> feature-snapshot models miss slowly evolving precursor patterns.</w:t>
            </w:r>
          </w:p>
        </w:tc>
        <w:tc>
          <w:tcPr>
            <w:tcW w:w="4300" w:type="dxa"/>
            <w:shd w:val="clear" w:color="auto" w:fill="FFFFFF"/>
            <w:tcMar>
              <w:top w:w="100" w:type="dxa"/>
              <w:left w:w="120" w:type="dxa"/>
              <w:bottom w:w="100" w:type="dxa"/>
              <w:right w:w="120" w:type="dxa"/>
            </w:tcMar>
            <w:vAlign w:val="center"/>
          </w:tcPr>
          <w:p w14:paraId="781930DC" w14:textId="77777777" w:rsidR="009746FC" w:rsidRDefault="00200F57">
            <w:r>
              <w:rPr>
                <w:color w:val="1A1A1A"/>
              </w:rPr>
              <w:t>Use LSTM/GRU or sequence-window features alongside tree-based models to capture both short- and long-range temporal structure.</w:t>
            </w:r>
          </w:p>
        </w:tc>
      </w:tr>
      <w:tr w:rsidR="009746FC" w14:paraId="2C85D1C7"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0197A7B4" w14:textId="77777777" w:rsidR="009746FC" w:rsidRDefault="00200F57">
            <w:r>
              <w:rPr>
                <w:color w:val="1A1A1A"/>
              </w:rPr>
              <w:t>Distribution shift across solar cycles</w:t>
            </w:r>
          </w:p>
        </w:tc>
        <w:tc>
          <w:tcPr>
            <w:tcW w:w="2600" w:type="dxa"/>
            <w:shd w:val="clear" w:color="auto" w:fill="FFFFFF"/>
            <w:tcMar>
              <w:top w:w="100" w:type="dxa"/>
              <w:left w:w="120" w:type="dxa"/>
              <w:bottom w:w="100" w:type="dxa"/>
              <w:right w:w="120" w:type="dxa"/>
            </w:tcMar>
            <w:vAlign w:val="center"/>
          </w:tcPr>
          <w:p w14:paraId="32095BEA" w14:textId="77777777" w:rsidR="009746FC" w:rsidRDefault="00200F57">
            <w:r>
              <w:rPr>
                <w:color w:val="1A1A1A"/>
              </w:rPr>
              <w:t>Model performance degrades as solar activity phase changes (solar minimum vs. maximum).</w:t>
            </w:r>
          </w:p>
        </w:tc>
        <w:tc>
          <w:tcPr>
            <w:tcW w:w="4300" w:type="dxa"/>
            <w:shd w:val="clear" w:color="auto" w:fill="FFFFFF"/>
            <w:tcMar>
              <w:top w:w="100" w:type="dxa"/>
              <w:left w:w="120" w:type="dxa"/>
              <w:bottom w:w="100" w:type="dxa"/>
              <w:right w:w="120" w:type="dxa"/>
            </w:tcMar>
            <w:vAlign w:val="center"/>
          </w:tcPr>
          <w:p w14:paraId="2C17EA57" w14:textId="77777777" w:rsidR="009746FC" w:rsidRDefault="00200F57">
            <w:r>
              <w:rPr>
                <w:color w:val="1A1A1A"/>
              </w:rPr>
              <w:t>Schedule periodic retraining with newly acquired Aditya-L1 data; monitor for concept drift and version models by training window.</w:t>
            </w:r>
          </w:p>
        </w:tc>
      </w:tr>
      <w:tr w:rsidR="009746FC" w14:paraId="2448A872"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4CD8A09" w14:textId="77777777" w:rsidR="009746FC" w:rsidRDefault="00200F57">
            <w:r>
              <w:rPr>
                <w:color w:val="1A1A1A"/>
              </w:rPr>
              <w:t>Real-time processing latency</w:t>
            </w:r>
          </w:p>
        </w:tc>
        <w:tc>
          <w:tcPr>
            <w:tcW w:w="2600" w:type="dxa"/>
            <w:shd w:val="clear" w:color="auto" w:fill="FFFFFF"/>
            <w:tcMar>
              <w:top w:w="100" w:type="dxa"/>
              <w:left w:w="120" w:type="dxa"/>
              <w:bottom w:w="100" w:type="dxa"/>
              <w:right w:w="120" w:type="dxa"/>
            </w:tcMar>
            <w:vAlign w:val="center"/>
          </w:tcPr>
          <w:p w14:paraId="7C354914" w14:textId="77777777" w:rsidR="009746FC" w:rsidRDefault="00200F57">
            <w:r>
              <w:rPr>
                <w:color w:val="1A1A1A"/>
              </w:rPr>
              <w:t xml:space="preserve">Delayed </w:t>
            </w:r>
            <w:r>
              <w:rPr>
                <w:color w:val="1A1A1A"/>
              </w:rPr>
              <w:t>inference means warnings arrive too late to be actionable.</w:t>
            </w:r>
          </w:p>
        </w:tc>
        <w:tc>
          <w:tcPr>
            <w:tcW w:w="4300" w:type="dxa"/>
            <w:shd w:val="clear" w:color="auto" w:fill="FFFFFF"/>
            <w:tcMar>
              <w:top w:w="100" w:type="dxa"/>
              <w:left w:w="120" w:type="dxa"/>
              <w:bottom w:w="100" w:type="dxa"/>
              <w:right w:w="120" w:type="dxa"/>
            </w:tcMar>
            <w:vAlign w:val="center"/>
          </w:tcPr>
          <w:p w14:paraId="2341899A" w14:textId="77777777" w:rsidR="009746FC" w:rsidRDefault="00200F57">
            <w:r>
              <w:rPr>
                <w:color w:val="1A1A1A"/>
              </w:rPr>
              <w:t>Build an efficient streaming pipeline with scheduled batch jobs, model quantization/optimization, and asynchronous inference workers.</w:t>
            </w:r>
          </w:p>
        </w:tc>
      </w:tr>
      <w:tr w:rsidR="009746FC" w14:paraId="02890AE1"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1272EC8B" w14:textId="77777777" w:rsidR="009746FC" w:rsidRDefault="00200F57">
            <w:r>
              <w:rPr>
                <w:color w:val="1A1A1A"/>
              </w:rPr>
              <w:t>Model disagreement across sub-models</w:t>
            </w:r>
          </w:p>
        </w:tc>
        <w:tc>
          <w:tcPr>
            <w:tcW w:w="2600" w:type="dxa"/>
            <w:shd w:val="clear" w:color="auto" w:fill="FFFFFF"/>
            <w:tcMar>
              <w:top w:w="100" w:type="dxa"/>
              <w:left w:w="120" w:type="dxa"/>
              <w:bottom w:w="100" w:type="dxa"/>
              <w:right w:w="120" w:type="dxa"/>
            </w:tcMar>
            <w:vAlign w:val="center"/>
          </w:tcPr>
          <w:p w14:paraId="5DE93CC7" w14:textId="77777777" w:rsidR="009746FC" w:rsidRDefault="00200F57">
            <w:r>
              <w:rPr>
                <w:color w:val="1A1A1A"/>
              </w:rPr>
              <w:t>Independent flare and CME</w:t>
            </w:r>
            <w:r>
              <w:rPr>
                <w:color w:val="1A1A1A"/>
              </w:rPr>
              <w:t xml:space="preserve"> models can produce conflicting risk signals.</w:t>
            </w:r>
          </w:p>
        </w:tc>
        <w:tc>
          <w:tcPr>
            <w:tcW w:w="4300" w:type="dxa"/>
            <w:shd w:val="clear" w:color="auto" w:fill="FFFFFF"/>
            <w:tcMar>
              <w:top w:w="100" w:type="dxa"/>
              <w:left w:w="120" w:type="dxa"/>
              <w:bottom w:w="100" w:type="dxa"/>
              <w:right w:w="120" w:type="dxa"/>
            </w:tcMar>
            <w:vAlign w:val="center"/>
          </w:tcPr>
          <w:p w14:paraId="57CD858B" w14:textId="77777777" w:rsidR="009746FC" w:rsidRDefault="00200F57">
            <w:r>
              <w:rPr>
                <w:color w:val="1A1A1A"/>
              </w:rPr>
              <w:t>Introduce a fusion layer using a calibrated logistic-regression stacking model that weighs each sub-model's confidence and historical reliability.</w:t>
            </w:r>
          </w:p>
        </w:tc>
      </w:tr>
    </w:tbl>
    <w:p w14:paraId="5E7303FF" w14:textId="77777777" w:rsidR="009746FC" w:rsidRDefault="009746FC">
      <w:pPr>
        <w:spacing w:after="200"/>
      </w:pPr>
    </w:p>
    <w:p w14:paraId="65E9B763" w14:textId="77777777" w:rsidR="00200F57" w:rsidRDefault="00200F57">
      <w:pPr>
        <w:pStyle w:val="Heading1"/>
        <w:pBdr>
          <w:bottom w:val="single" w:sz="6" w:space="4" w:color="1F4E79"/>
        </w:pBdr>
        <w:spacing w:before="360" w:after="160"/>
        <w:rPr>
          <w:b/>
          <w:bCs/>
          <w:color w:val="1F4E79"/>
          <w:sz w:val="30"/>
          <w:szCs w:val="30"/>
        </w:rPr>
      </w:pPr>
    </w:p>
    <w:p w14:paraId="2BAD1D0B" w14:textId="77777777" w:rsidR="00200F57" w:rsidRDefault="00200F57">
      <w:pPr>
        <w:pStyle w:val="Heading1"/>
        <w:pBdr>
          <w:bottom w:val="single" w:sz="6" w:space="4" w:color="1F4E79"/>
        </w:pBdr>
        <w:spacing w:before="360" w:after="160"/>
        <w:rPr>
          <w:b/>
          <w:bCs/>
          <w:color w:val="1F4E79"/>
          <w:sz w:val="30"/>
          <w:szCs w:val="30"/>
        </w:rPr>
      </w:pPr>
    </w:p>
    <w:p w14:paraId="7D6D388F" w14:textId="14B962EE" w:rsidR="009746FC" w:rsidRDefault="00200F57">
      <w:pPr>
        <w:pStyle w:val="Heading1"/>
        <w:pBdr>
          <w:bottom w:val="single" w:sz="6" w:space="4" w:color="1F4E79"/>
        </w:pBdr>
        <w:spacing w:before="360" w:after="160"/>
        <w:rPr>
          <w:b/>
          <w:bCs/>
          <w:color w:val="1F4E79"/>
          <w:sz w:val="30"/>
          <w:szCs w:val="30"/>
        </w:rPr>
      </w:pPr>
      <w:r>
        <w:rPr>
          <w:b/>
          <w:bCs/>
          <w:color w:val="1F4E79"/>
          <w:sz w:val="30"/>
          <w:szCs w:val="30"/>
        </w:rPr>
        <w:lastRenderedPageBreak/>
        <w:t>Improvement in performance</w:t>
      </w:r>
    </w:p>
    <w:p w14:paraId="621FBE82" w14:textId="77777777" w:rsidR="009746FC" w:rsidRDefault="00200F57">
      <w:pPr>
        <w:pStyle w:val="ListParagraph"/>
        <w:numPr>
          <w:ilvl w:val="0"/>
          <w:numId w:val="2"/>
        </w:numPr>
        <w:spacing w:after="90" w:line="264" w:lineRule="auto"/>
      </w:pPr>
      <w:r>
        <w:rPr>
          <w:b/>
          <w:bCs/>
          <w:color w:val="2E75B6"/>
          <w:sz w:val="22"/>
          <w:szCs w:val="22"/>
        </w:rPr>
        <w:t xml:space="preserve">Earlier warning: </w:t>
      </w:r>
      <w:r>
        <w:rPr>
          <w:sz w:val="22"/>
          <w:szCs w:val="22"/>
        </w:rPr>
        <w:t>Combining fast electromagnetic X-ray precursors with slower in-situ solar wind signals extends effective lead time beyond what either source provides alone.</w:t>
      </w:r>
    </w:p>
    <w:p w14:paraId="76DC651A" w14:textId="77777777" w:rsidR="009746FC" w:rsidRDefault="00200F57">
      <w:pPr>
        <w:pStyle w:val="ListParagraph"/>
        <w:numPr>
          <w:ilvl w:val="0"/>
          <w:numId w:val="2"/>
        </w:numPr>
        <w:spacing w:after="90" w:line="264" w:lineRule="auto"/>
      </w:pPr>
      <w:r>
        <w:rPr>
          <w:b/>
          <w:bCs/>
          <w:color w:val="2E75B6"/>
          <w:sz w:val="22"/>
          <w:szCs w:val="22"/>
        </w:rPr>
        <w:t xml:space="preserve">Higher accuracy: </w:t>
      </w:r>
      <w:r>
        <w:rPr>
          <w:sz w:val="22"/>
          <w:szCs w:val="22"/>
        </w:rPr>
        <w:t xml:space="preserve">Two physically independent instruments contribute complementary, </w:t>
      </w:r>
      <w:r>
        <w:rPr>
          <w:sz w:val="22"/>
          <w:szCs w:val="22"/>
        </w:rPr>
        <w:t>partially uncorrelated evidence, reducing the error modes any single model would inherit.</w:t>
      </w:r>
    </w:p>
    <w:p w14:paraId="001F9B86" w14:textId="77777777" w:rsidR="009746FC" w:rsidRDefault="00200F57">
      <w:pPr>
        <w:pStyle w:val="ListParagraph"/>
        <w:numPr>
          <w:ilvl w:val="0"/>
          <w:numId w:val="2"/>
        </w:numPr>
        <w:spacing w:after="90" w:line="264" w:lineRule="auto"/>
      </w:pPr>
      <w:r>
        <w:rPr>
          <w:b/>
          <w:bCs/>
          <w:color w:val="2E75B6"/>
          <w:sz w:val="22"/>
          <w:szCs w:val="22"/>
        </w:rPr>
        <w:t xml:space="preserve">Reduced false positives: </w:t>
      </w:r>
      <w:r>
        <w:rPr>
          <w:sz w:val="22"/>
          <w:szCs w:val="22"/>
        </w:rPr>
        <w:t>Anomaly detection and ensemble learning filter out isolated sensor noise that a single-model system might misclassify as an event.</w:t>
      </w:r>
    </w:p>
    <w:p w14:paraId="579E0792" w14:textId="77777777" w:rsidR="009746FC" w:rsidRDefault="00200F57">
      <w:pPr>
        <w:pStyle w:val="ListParagraph"/>
        <w:numPr>
          <w:ilvl w:val="0"/>
          <w:numId w:val="2"/>
        </w:numPr>
        <w:spacing w:after="90" w:line="264" w:lineRule="auto"/>
      </w:pPr>
      <w:r>
        <w:rPr>
          <w:b/>
          <w:bCs/>
          <w:color w:val="2E75B6"/>
          <w:sz w:val="22"/>
          <w:szCs w:val="22"/>
        </w:rPr>
        <w:t>More robus</w:t>
      </w:r>
      <w:r>
        <w:rPr>
          <w:b/>
          <w:bCs/>
          <w:color w:val="2E75B6"/>
          <w:sz w:val="22"/>
          <w:szCs w:val="22"/>
        </w:rPr>
        <w:t xml:space="preserve">t predictions: </w:t>
      </w:r>
      <w:r>
        <w:rPr>
          <w:sz w:val="22"/>
          <w:szCs w:val="22"/>
        </w:rPr>
        <w:t>Model stacking with probability calibration produces a risk score whose confidence is meaningful and comparable across event types, not just a raw classifier output.</w:t>
      </w:r>
    </w:p>
    <w:p w14:paraId="6495461A" w14:textId="77777777" w:rsidR="009746FC" w:rsidRDefault="00200F57">
      <w:pPr>
        <w:pStyle w:val="ListParagraph"/>
        <w:numPr>
          <w:ilvl w:val="0"/>
          <w:numId w:val="2"/>
        </w:numPr>
        <w:spacing w:after="90" w:line="264" w:lineRule="auto"/>
      </w:pPr>
      <w:r>
        <w:rPr>
          <w:b/>
          <w:bCs/>
          <w:color w:val="2E75B6"/>
          <w:sz w:val="22"/>
          <w:szCs w:val="22"/>
        </w:rPr>
        <w:t xml:space="preserve">Operational readiness: </w:t>
      </w:r>
      <w:r>
        <w:rPr>
          <w:sz w:val="22"/>
          <w:szCs w:val="22"/>
        </w:rPr>
        <w:t>Real-time dashboards, historical analysis, and confi</w:t>
      </w:r>
      <w:r>
        <w:rPr>
          <w:sz w:val="22"/>
          <w:szCs w:val="22"/>
        </w:rPr>
        <w:t>gurable alerting make the system usable by operators, not just data scientists.</w:t>
      </w:r>
    </w:p>
    <w:p w14:paraId="4DAF4868" w14:textId="77777777" w:rsidR="009746FC" w:rsidRDefault="00200F57">
      <w:pPr>
        <w:pStyle w:val="ListParagraph"/>
        <w:numPr>
          <w:ilvl w:val="0"/>
          <w:numId w:val="2"/>
        </w:numPr>
        <w:spacing w:after="90" w:line="264" w:lineRule="auto"/>
      </w:pPr>
      <w:r>
        <w:rPr>
          <w:b/>
          <w:bCs/>
          <w:color w:val="2E75B6"/>
          <w:sz w:val="22"/>
          <w:szCs w:val="22"/>
        </w:rPr>
        <w:t xml:space="preserve">Scalability: </w:t>
      </w:r>
      <w:r>
        <w:rPr>
          <w:sz w:val="22"/>
          <w:szCs w:val="22"/>
        </w:rPr>
        <w:t>A modular architecture allows new datasets (additional instruments, other solar observatories) and newer model families (e.g., Transformers) to be added without re</w:t>
      </w:r>
      <w:r>
        <w:rPr>
          <w:sz w:val="22"/>
          <w:szCs w:val="22"/>
        </w:rPr>
        <w:t>designing the pipeline.</w:t>
      </w:r>
    </w:p>
    <w:p w14:paraId="2029CA27" w14:textId="2B3FE878" w:rsidR="009746FC" w:rsidRDefault="009746FC">
      <w:pPr>
        <w:spacing w:after="160" w:line="276" w:lineRule="auto"/>
      </w:pPr>
      <w:bookmarkStart w:id="0" w:name="_GoBack"/>
      <w:bookmarkEnd w:id="0"/>
    </w:p>
    <w:sectPr w:rsidR="009746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E1080E"/>
    <w:multiLevelType w:val="hybridMultilevel"/>
    <w:tmpl w:val="754A0BD4"/>
    <w:lvl w:ilvl="0" w:tplc="09520B3A">
      <w:start w:val="1"/>
      <w:numFmt w:val="bullet"/>
      <w:lvlText w:val="●"/>
      <w:lvlJc w:val="left"/>
      <w:pPr>
        <w:ind w:left="720" w:hanging="360"/>
      </w:pPr>
    </w:lvl>
    <w:lvl w:ilvl="1" w:tplc="32660066">
      <w:start w:val="1"/>
      <w:numFmt w:val="bullet"/>
      <w:lvlText w:val="○"/>
      <w:lvlJc w:val="left"/>
      <w:pPr>
        <w:ind w:left="1440" w:hanging="360"/>
      </w:pPr>
    </w:lvl>
    <w:lvl w:ilvl="2" w:tplc="AE40758E">
      <w:start w:val="1"/>
      <w:numFmt w:val="bullet"/>
      <w:lvlText w:val="■"/>
      <w:lvlJc w:val="left"/>
      <w:pPr>
        <w:ind w:left="2160" w:hanging="360"/>
      </w:pPr>
    </w:lvl>
    <w:lvl w:ilvl="3" w:tplc="4AF06D96">
      <w:start w:val="1"/>
      <w:numFmt w:val="bullet"/>
      <w:lvlText w:val="●"/>
      <w:lvlJc w:val="left"/>
      <w:pPr>
        <w:ind w:left="2880" w:hanging="360"/>
      </w:pPr>
    </w:lvl>
    <w:lvl w:ilvl="4" w:tplc="8538425E">
      <w:start w:val="1"/>
      <w:numFmt w:val="bullet"/>
      <w:lvlText w:val="○"/>
      <w:lvlJc w:val="left"/>
      <w:pPr>
        <w:ind w:left="3600" w:hanging="360"/>
      </w:pPr>
    </w:lvl>
    <w:lvl w:ilvl="5" w:tplc="7524433C">
      <w:start w:val="1"/>
      <w:numFmt w:val="bullet"/>
      <w:lvlText w:val="■"/>
      <w:lvlJc w:val="left"/>
      <w:pPr>
        <w:ind w:left="4320" w:hanging="360"/>
      </w:pPr>
    </w:lvl>
    <w:lvl w:ilvl="6" w:tplc="C910F470">
      <w:start w:val="1"/>
      <w:numFmt w:val="bullet"/>
      <w:lvlText w:val="●"/>
      <w:lvlJc w:val="left"/>
      <w:pPr>
        <w:ind w:left="5040" w:hanging="360"/>
      </w:pPr>
    </w:lvl>
    <w:lvl w:ilvl="7" w:tplc="01DA768E">
      <w:start w:val="1"/>
      <w:numFmt w:val="bullet"/>
      <w:lvlText w:val="●"/>
      <w:lvlJc w:val="left"/>
      <w:pPr>
        <w:ind w:left="5760" w:hanging="360"/>
      </w:pPr>
    </w:lvl>
    <w:lvl w:ilvl="8" w:tplc="C9E29ECE">
      <w:start w:val="1"/>
      <w:numFmt w:val="bullet"/>
      <w:lvlText w:val="●"/>
      <w:lvlJc w:val="left"/>
      <w:pPr>
        <w:ind w:left="6480" w:hanging="360"/>
      </w:pPr>
    </w:lvl>
  </w:abstractNum>
  <w:abstractNum w:abstractNumId="1" w15:restartNumberingAfterBreak="0">
    <w:nsid w:val="7B583B89"/>
    <w:multiLevelType w:val="hybridMultilevel"/>
    <w:tmpl w:val="7BD065E2"/>
    <w:lvl w:ilvl="0" w:tplc="1A9048BE">
      <w:start w:val="1"/>
      <w:numFmt w:val="bullet"/>
      <w:lvlText w:val="•"/>
      <w:lvlJc w:val="left"/>
      <w:pPr>
        <w:ind w:left="460" w:hanging="260"/>
      </w:pPr>
    </w:lvl>
    <w:lvl w:ilvl="1" w:tplc="19264090">
      <w:start w:val="1"/>
      <w:numFmt w:val="bullet"/>
      <w:lvlText w:val="–"/>
      <w:lvlJc w:val="left"/>
      <w:pPr>
        <w:ind w:left="900" w:hanging="260"/>
      </w:pPr>
    </w:lvl>
    <w:lvl w:ilvl="2" w:tplc="66D09912">
      <w:numFmt w:val="decimal"/>
      <w:lvlText w:val=""/>
      <w:lvlJc w:val="left"/>
    </w:lvl>
    <w:lvl w:ilvl="3" w:tplc="F73653BC">
      <w:numFmt w:val="decimal"/>
      <w:lvlText w:val=""/>
      <w:lvlJc w:val="left"/>
    </w:lvl>
    <w:lvl w:ilvl="4" w:tplc="C00875E8">
      <w:numFmt w:val="decimal"/>
      <w:lvlText w:val=""/>
      <w:lvlJc w:val="left"/>
    </w:lvl>
    <w:lvl w:ilvl="5" w:tplc="A1908CFE">
      <w:numFmt w:val="decimal"/>
      <w:lvlText w:val=""/>
      <w:lvlJc w:val="left"/>
    </w:lvl>
    <w:lvl w:ilvl="6" w:tplc="8A96403C">
      <w:numFmt w:val="decimal"/>
      <w:lvlText w:val=""/>
      <w:lvlJc w:val="left"/>
    </w:lvl>
    <w:lvl w:ilvl="7" w:tplc="C7E2E3F0">
      <w:numFmt w:val="decimal"/>
      <w:lvlText w:val=""/>
      <w:lvlJc w:val="left"/>
    </w:lvl>
    <w:lvl w:ilvl="8" w:tplc="EB6AFC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FC"/>
    <w:rsid w:val="00200F57"/>
    <w:rsid w:val="00974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B6D4"/>
  <w15:docId w15:val="{856D9ABF-76B2-4162-BC87-8ED288B0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Isheetha ✨</cp:lastModifiedBy>
  <cp:revision>2</cp:revision>
  <dcterms:created xsi:type="dcterms:W3CDTF">2026-07-01T06:17:00Z</dcterms:created>
  <dcterms:modified xsi:type="dcterms:W3CDTF">2026-07-01T06:17:00Z</dcterms:modified>
</cp:coreProperties>
</file>