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FA227B" w:rsidRPr="00FA227B" w:rsidTr="00F05C8E">
        <w:trPr>
          <w:trHeight w:val="3576"/>
        </w:trPr>
        <w:tc>
          <w:tcPr>
            <w:tcW w:w="4928" w:type="dxa"/>
          </w:tcPr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  <w:szCs w:val="22"/>
              </w:rPr>
              <w:t>МИНИСТЕРСТВО ЮСТИЦИИ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  <w:szCs w:val="22"/>
              </w:rPr>
              <w:t>РОССИЙСКОЙ ФЕДЕРАЦИИ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</w:rPr>
              <w:t>(МИНЮСТ РОССИИ)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  <w:szCs w:val="22"/>
              </w:rPr>
              <w:t>Управление Министерства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  <w:szCs w:val="22"/>
              </w:rPr>
              <w:t>юстиции Российской Федерации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  <w:szCs w:val="22"/>
              </w:rPr>
              <w:t>по Костромской области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</w:rPr>
              <w:t>ул. Симановского, д. 105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</w:rPr>
              <w:t>г. Кострома, 156002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</w:rPr>
              <w:t>Тел./факс: (4942) 45-42-22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  <w:lang w:val="en-US"/>
              </w:rPr>
              <w:t>e</w:t>
            </w:r>
            <w:r w:rsidRPr="00FA227B">
              <w:rPr>
                <w:rFonts w:ascii="Arial" w:hAnsi="Arial"/>
                <w:sz w:val="24"/>
              </w:rPr>
              <w:t>-</w:t>
            </w:r>
            <w:r w:rsidRPr="00FA227B">
              <w:rPr>
                <w:rFonts w:ascii="Arial" w:hAnsi="Arial"/>
                <w:sz w:val="24"/>
                <w:lang w:val="en-US"/>
              </w:rPr>
              <w:t>mail</w:t>
            </w:r>
            <w:r w:rsidRPr="00FA227B">
              <w:rPr>
                <w:rFonts w:ascii="Arial" w:hAnsi="Arial"/>
                <w:sz w:val="24"/>
              </w:rPr>
              <w:t xml:space="preserve">: </w:t>
            </w:r>
            <w:r w:rsidRPr="00FA227B">
              <w:rPr>
                <w:rFonts w:ascii="Arial" w:hAnsi="Arial"/>
                <w:sz w:val="24"/>
                <w:lang w:val="en-US"/>
              </w:rPr>
              <w:t>ru</w:t>
            </w:r>
            <w:r w:rsidRPr="00FA227B">
              <w:rPr>
                <w:rFonts w:ascii="Arial" w:hAnsi="Arial"/>
                <w:sz w:val="24"/>
              </w:rPr>
              <w:t>44@</w:t>
            </w:r>
            <w:r w:rsidRPr="00FA227B">
              <w:rPr>
                <w:rFonts w:ascii="Arial" w:hAnsi="Arial"/>
                <w:sz w:val="24"/>
                <w:lang w:val="en-US"/>
              </w:rPr>
              <w:t>minjust</w:t>
            </w:r>
            <w:r w:rsidRPr="00FA227B">
              <w:rPr>
                <w:rFonts w:ascii="Arial" w:hAnsi="Arial"/>
                <w:sz w:val="24"/>
              </w:rPr>
              <w:t>.</w:t>
            </w:r>
            <w:r w:rsidRPr="00FA227B">
              <w:rPr>
                <w:rFonts w:ascii="Arial" w:hAnsi="Arial"/>
                <w:sz w:val="24"/>
                <w:lang w:val="en-US"/>
              </w:rPr>
              <w:t>ru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</w:rPr>
              <w:t xml:space="preserve">17.07.2014  </w:t>
            </w:r>
            <w:r w:rsidRPr="00FA227B">
              <w:rPr>
                <w:rFonts w:ascii="Arial" w:hAnsi="Arial"/>
                <w:sz w:val="24"/>
              </w:rPr>
              <w:t>№</w:t>
            </w:r>
            <w:r w:rsidRPr="00FA227B">
              <w:rPr>
                <w:rFonts w:ascii="Arial" w:hAnsi="Arial"/>
                <w:sz w:val="24"/>
              </w:rPr>
              <w:t xml:space="preserve">  44/04-2288</w:t>
            </w: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</w:p>
          <w:p w:rsidR="00FA227B" w:rsidRPr="00FA227B" w:rsidRDefault="00FA227B" w:rsidP="00FA227B">
            <w:pPr>
              <w:ind w:firstLine="709"/>
              <w:jc w:val="center"/>
              <w:rPr>
                <w:rFonts w:ascii="Arial" w:hAnsi="Arial"/>
                <w:sz w:val="24"/>
              </w:rPr>
            </w:pPr>
            <w:r w:rsidRPr="00FA227B">
              <w:rPr>
                <w:rFonts w:ascii="Arial" w:hAnsi="Arial"/>
                <w:sz w:val="24"/>
              </w:rPr>
              <w:t>На № _______ от ___________</w:t>
            </w:r>
          </w:p>
        </w:tc>
      </w:tr>
    </w:tbl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FA227B" w:rsidRP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З.П. Мещиряковой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“16” июля  2014                                                                         № 12474</w:t>
      </w:r>
    </w:p>
    <w:p w:rsidR="00FA227B" w:rsidRPr="00FA227B" w:rsidRDefault="00FA227B" w:rsidP="00FA227B">
      <w:pPr>
        <w:ind w:firstLine="709"/>
        <w:jc w:val="center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pStyle w:val="1"/>
        <w:ind w:firstLine="709"/>
        <w:rPr>
          <w:bCs w:val="0"/>
          <w:sz w:val="24"/>
          <w:szCs w:val="28"/>
        </w:rPr>
      </w:pPr>
      <w:r w:rsidRPr="00FA227B">
        <w:rPr>
          <w:bCs w:val="0"/>
          <w:sz w:val="24"/>
          <w:szCs w:val="28"/>
        </w:rPr>
        <w:t>ЭКСПЕРТНОЕ ЗАКЛЮЧЕНИЕ</w:t>
      </w:r>
    </w:p>
    <w:p w:rsidR="00FA227B" w:rsidRPr="00FA227B" w:rsidRDefault="00FA227B" w:rsidP="00FA227B">
      <w:pPr>
        <w:ind w:firstLine="709"/>
        <w:jc w:val="center"/>
        <w:rPr>
          <w:rFonts w:ascii="Arial" w:hAnsi="Arial"/>
          <w:bCs/>
          <w:sz w:val="24"/>
          <w:szCs w:val="28"/>
        </w:rPr>
      </w:pPr>
      <w:r w:rsidRPr="00FA227B">
        <w:rPr>
          <w:rFonts w:ascii="Arial" w:hAnsi="Arial"/>
          <w:bCs/>
          <w:sz w:val="24"/>
          <w:szCs w:val="28"/>
        </w:rPr>
        <w:t>по результатам проведения правовой экспертизы</w:t>
      </w:r>
    </w:p>
    <w:p w:rsidR="00FA227B" w:rsidRPr="00FA227B" w:rsidRDefault="00FA227B" w:rsidP="00FA227B">
      <w:pPr>
        <w:pStyle w:val="caption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FA227B" w:rsidRPr="00FA227B" w:rsidRDefault="00FA227B" w:rsidP="00FA227B">
      <w:pPr>
        <w:ind w:firstLine="709"/>
        <w:jc w:val="center"/>
        <w:rPr>
          <w:rFonts w:ascii="Arial" w:hAnsi="Arial"/>
          <w:b/>
          <w:sz w:val="24"/>
          <w:szCs w:val="28"/>
        </w:rPr>
      </w:pPr>
      <w:r w:rsidRPr="00FA227B">
        <w:rPr>
          <w:rFonts w:ascii="Arial" w:hAnsi="Arial"/>
          <w:b/>
          <w:sz w:val="24"/>
          <w:szCs w:val="28"/>
        </w:rPr>
        <w:t>на приказ департамента социальной защиты населения, опеки и попечительства Костромской области от 28.06.2012 № 445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10.10.2012 № 666, от 01.07.2013 № 338, от 14.05.2014 № 236)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b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445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10.10.2012 № 666, от 01.07.2013 № 338, от 14.05.2014 № 236) (далее – приказ).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Поводом проведения экспертизы является внесение изменений в рассматриваемый приказ.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компенсации семьям за потерю кормильца, участвовавшего в ликвидации последствий катастрофы на Чернобыльской АЭС, а также признаётся </w:t>
      </w:r>
      <w:r w:rsidRPr="00FA227B">
        <w:rPr>
          <w:rFonts w:ascii="Arial" w:hAnsi="Arial"/>
          <w:sz w:val="24"/>
          <w:szCs w:val="28"/>
        </w:rPr>
        <w:lastRenderedPageBreak/>
        <w:t>утратившим силу приказ департамента социальной защиты населения, опеки и попечительства Костромской области от 13.11.2009 № 542 «Об утверждении административного регламента».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В соответствии с пунктами «ж», «к», «н» части 1 статьи 72 Конституции Российской Федерации социальная защита, включая социальное обеспечение, административное законодательство,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Статьёй 41 Закон Российской Федерации от 15.05.1991 № 1244-1 «О социальной защите граждан, подвергшихся воздействию радиации вследствие катастрофы на Чернобыльской АЭС» определено, что право на ежемесячную компенсацию за потерю кормильца - участника ликвидации последствий катастрофы на Чернобыльской АЭС имеют нетрудоспособные члены семьи, бывшие на его иждивении. При этом детям ежемесячная компенсация назначается независимо от того, состояли ли они на иждивении.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Статьёй 4 Закон Российской Федерации от 15.05.1991 № 1244-1 «О социальной защите граждан, подвергшихся воздействию радиации вследствие катастрофы на Чернобыльской АЭС» предусмотрено, что меры социальной поддержки, предусмотренные настоящим Законом, предоставляются в </w:t>
      </w:r>
      <w:hyperlink r:id="rId5" w:history="1">
        <w:r w:rsidRPr="00FA227B">
          <w:rPr>
            <w:rFonts w:ascii="Arial" w:hAnsi="Arial"/>
            <w:sz w:val="24"/>
            <w:szCs w:val="28"/>
          </w:rPr>
          <w:t>порядке,</w:t>
        </w:r>
      </w:hyperlink>
      <w:r w:rsidRPr="00FA227B">
        <w:rPr>
          <w:rFonts w:ascii="Arial" w:hAnsi="Arial"/>
          <w:sz w:val="24"/>
          <w:szCs w:val="28"/>
        </w:rPr>
        <w:t xml:space="preserve"> установленном Правительством Российской Федерации.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Пунктами 2, 3 Правил выплаты гражданам компенсаций за вред, нанесенный здоровью вследствие Чернобыльской катастрофы, компенсации на оздоровление, а также компенсаций семьям за потерю кормильца, утвержденных постановлением Правительства Российской Федерации от 31.12.2004 № 907 «О социальной поддержке граждан, подвергшихся воздействию радиации вследствие катастрофы на Чернобыльской АЭС», установлено, что для получения компенсации получатель компенсации подает по месту жительства в орган в сфере социальной защиты населения, уполномоченный органом государственной власти субъекта Российской Федерации в соответствии с законодательством субъекта Российской Федерации.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Подпунктом 9 пункта 1 постановления администрации Костромской области от 12.08.2010 № 270-а «Об уполномоченном органе» департамент социальной защиты населения, опеки и попечительства Костромской области определен уполномоченным исполнительным органом государственной власти Костромской области по выплате ежемесячной компенсации семьям за потерю кормильца, участвовавшего в ликвидации последствий катастрофы на Чернобыльской АЭС, предусмотренной </w:t>
      </w:r>
      <w:hyperlink r:id="rId6" w:history="1">
        <w:r w:rsidRPr="00FA227B">
          <w:rPr>
            <w:rFonts w:ascii="Arial" w:hAnsi="Arial"/>
            <w:sz w:val="24"/>
            <w:szCs w:val="28"/>
          </w:rPr>
          <w:t>частями первой</w:t>
        </w:r>
      </w:hyperlink>
      <w:r w:rsidRPr="00FA227B">
        <w:rPr>
          <w:rFonts w:ascii="Arial" w:hAnsi="Arial"/>
          <w:sz w:val="24"/>
          <w:szCs w:val="28"/>
        </w:rPr>
        <w:t xml:space="preserve"> и </w:t>
      </w:r>
      <w:hyperlink r:id="rId7" w:history="1">
        <w:r w:rsidRPr="00FA227B">
          <w:rPr>
            <w:rFonts w:ascii="Arial" w:hAnsi="Arial"/>
            <w:sz w:val="24"/>
            <w:szCs w:val="28"/>
          </w:rPr>
          <w:t>второй статьи 41</w:t>
        </w:r>
      </w:hyperlink>
      <w:r w:rsidRPr="00FA227B">
        <w:rPr>
          <w:rFonts w:ascii="Arial" w:hAnsi="Arial"/>
          <w:sz w:val="24"/>
          <w:szCs w:val="28"/>
        </w:rPr>
        <w:t xml:space="preserve"> Закона Российской Федерации от 15 мая 1991 года N 1244-1 «О социальной защите граждан, подвергшихся воздействию радиации вследствие катастрофы на Чернобыльской</w:t>
      </w:r>
      <w:r w:rsidRPr="00FA227B">
        <w:rPr>
          <w:rFonts w:ascii="Arial" w:eastAsia="Calibri" w:hAnsi="Arial"/>
          <w:sz w:val="24"/>
          <w:szCs w:val="28"/>
        </w:rPr>
        <w:t xml:space="preserve"> АЭС».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Согласно части 1 статьи 12 Федерального закона от 27.07.2010 № 210-ФЗ «Об организации предоставления государственных и муниципальных услуг» предоставление государственных услуг осуществляется в соответствии с административными регламентами.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</w:t>
      </w:r>
      <w:r w:rsidRPr="00FA227B">
        <w:rPr>
          <w:rFonts w:ascii="Arial" w:hAnsi="Arial"/>
          <w:sz w:val="24"/>
          <w:szCs w:val="28"/>
        </w:rPr>
        <w:lastRenderedPageBreak/>
        <w:t>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Пунктом 2 Порядка разработки и утверждения административных регламентов исполнения государственных функций и предоставления государственных услуг (далее - Порядок разработки и утверждения административных регламентов),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FA227B" w:rsidRPr="00FA227B" w:rsidRDefault="00FA227B" w:rsidP="00FA227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A227B">
        <w:rPr>
          <w:rFonts w:ascii="Arial" w:hAnsi="Arial" w:cs="Arial"/>
          <w:sz w:val="24"/>
          <w:szCs w:val="24"/>
        </w:rPr>
        <w:t xml:space="preserve">На федеральном уровне рассматриваемые правоотношения регулируются </w:t>
      </w:r>
      <w:hyperlink r:id="rId8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Конституцией Российской Федерации</w:t>
        </w:r>
      </w:hyperlink>
      <w:r w:rsidRPr="00FA227B">
        <w:rPr>
          <w:rFonts w:ascii="Arial" w:hAnsi="Arial" w:cs="Arial"/>
          <w:sz w:val="24"/>
          <w:szCs w:val="24"/>
        </w:rPr>
        <w:t xml:space="preserve">, федеральными законами </w:t>
      </w:r>
      <w:hyperlink r:id="rId9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27.07.2010г. № 210-ФЗ</w:t>
        </w:r>
      </w:hyperlink>
      <w:r w:rsidRPr="00FA227B">
        <w:rPr>
          <w:rFonts w:ascii="Arial" w:hAnsi="Arial" w:cs="Arial"/>
          <w:sz w:val="24"/>
          <w:szCs w:val="24"/>
        </w:rPr>
        <w:t xml:space="preserve"> «Об организации предоставления государственных и муниципальных услуг», от </w:t>
      </w:r>
      <w:hyperlink r:id="rId10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06.10.1999г. № 184-ФЗ</w:t>
        </w:r>
      </w:hyperlink>
      <w:r w:rsidRPr="00FA227B">
        <w:rPr>
          <w:rFonts w:ascii="Arial" w:hAnsi="Arial" w:cs="Arial"/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11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26.11.1998 № 175-ФЗ</w:t>
        </w:r>
      </w:hyperlink>
      <w:r w:rsidRPr="00FA227B">
        <w:rPr>
          <w:rFonts w:ascii="Arial" w:hAnsi="Arial" w:cs="Arial"/>
          <w:sz w:val="24"/>
          <w:szCs w:val="24"/>
        </w:rPr>
        <w:t xml:space="preserve"> «О социальной защите граждан Российской Федерации, подвергшихся воздействию радиации вследствие аварии в 1957 году на производственном объединении «Маяк» и сбросов радиоактивных отходов в реку Теча», Законом Российской Федерации </w:t>
      </w:r>
      <w:hyperlink r:id="rId12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15.05.1991г. № 1244-1</w:t>
        </w:r>
      </w:hyperlink>
      <w:r w:rsidRPr="00FA227B">
        <w:rPr>
          <w:rFonts w:ascii="Arial" w:hAnsi="Arial" w:cs="Arial"/>
          <w:sz w:val="24"/>
          <w:szCs w:val="24"/>
        </w:rPr>
        <w:t xml:space="preserve"> «О социальной защите граждан, подвергшихся воздействию радиации вследствие катастрофы на Чернобыльской АЭС», постановлением Правительства Российской Федерации, </w:t>
      </w:r>
      <w:hyperlink r:id="rId13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31.12.2004г. № 907</w:t>
        </w:r>
      </w:hyperlink>
      <w:r w:rsidRPr="00FA227B">
        <w:rPr>
          <w:rFonts w:ascii="Arial" w:hAnsi="Arial" w:cs="Arial"/>
          <w:sz w:val="24"/>
          <w:szCs w:val="24"/>
        </w:rPr>
        <w:t xml:space="preserve"> «О социальной поддержке граждан, подвергшихся воздействию радиации вследствие катастрофы на Чернобыльской АЭС».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Признание утратившим силу вышеуказанного приказа департамента социальной защиты населения, опеки и попечительства Костромской области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FA227B" w:rsidRPr="00FA227B" w:rsidRDefault="00FA227B" w:rsidP="00FA227B">
      <w:pPr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Приказ является необходимым для урегулирования правоотношений в установленной сфере.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Порядок принятия и опубликования приказа соблюдён.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Форма и текст приказа соответствуют правилам юридической техники.</w:t>
      </w:r>
    </w:p>
    <w:p w:rsidR="00FA227B" w:rsidRPr="00FA227B" w:rsidRDefault="00FA227B" w:rsidP="00FA227B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FA227B">
        <w:rPr>
          <w:rFonts w:ascii="Arial" w:hAnsi="Arial" w:cs="Arial"/>
          <w:sz w:val="24"/>
          <w:szCs w:val="24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4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17.07.2009 № 172-ФЗ</w:t>
        </w:r>
      </w:hyperlink>
      <w:r w:rsidRPr="00FA227B">
        <w:rPr>
          <w:rFonts w:ascii="Arial" w:hAnsi="Arial" w:cs="Arial"/>
          <w:sz w:val="24"/>
          <w:szCs w:val="24"/>
        </w:rPr>
        <w:t xml:space="preserve"> «Об антикоррупционной экспертизе нормативных правовых актов и проектов нормативных правовых актов», </w:t>
      </w:r>
      <w:r w:rsidRPr="00FA227B">
        <w:rPr>
          <w:rFonts w:ascii="Arial" w:hAnsi="Arial" w:cs="Arial"/>
          <w:sz w:val="24"/>
          <w:szCs w:val="24"/>
        </w:rPr>
        <w:lastRenderedPageBreak/>
        <w:t xml:space="preserve">статьей 6 Федерального закона </w:t>
      </w:r>
      <w:hyperlink r:id="rId15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25.12.2008 № 273-ФЗ</w:t>
        </w:r>
      </w:hyperlink>
      <w:r w:rsidRPr="00FA227B">
        <w:rPr>
          <w:rFonts w:ascii="Arial" w:hAnsi="Arial" w:cs="Arial"/>
          <w:sz w:val="24"/>
          <w:szCs w:val="24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6" w:tgtFrame="Logical" w:history="1">
        <w:r w:rsidRPr="00FA227B">
          <w:rPr>
            <w:rStyle w:val="a5"/>
            <w:rFonts w:ascii="Arial" w:hAnsi="Arial" w:cs="Arial"/>
            <w:sz w:val="24"/>
            <w:szCs w:val="24"/>
          </w:rPr>
          <w:t>от 26.02.2010 № 96</w:t>
        </w:r>
      </w:hyperlink>
      <w:r w:rsidRPr="00FA227B">
        <w:rPr>
          <w:rFonts w:ascii="Arial" w:hAnsi="Arial" w:cs="Arial"/>
          <w:sz w:val="24"/>
          <w:szCs w:val="24"/>
        </w:rPr>
        <w:t>, выявлены коррупциогенные факторы.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компенсации семьям за потерю кормильца, участвовавшего в ликвидации последствий катастрофы на Чернобыльской АЭС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 или органов местного самоуправления (их должностных лиц), что является коррупциогенным фактором, состоящем в выборочном изменении объема прав граждан (подпункт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употребление неустоявшихся, двусмысленных терминов и категорий оценочного характера (подпункт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3. Пунктом 15 Административного регламента предусмотрено, что основания для отказа в приеме документов нормативными правовыми актами, регулирующими предоставление государственной услуги, не предусмотрены.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Подпункт 2 пункта 21 Порядка разработки и утверждения административных регламентов установлено, что описание каждой административной процедуры предусматривает содержание каждого административного действия, входящего в состав административной процедуры, продолжительность и (или) максимальный срок его выполнения.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Пунктом 27 Административного регламента определено, что специалист, ответственный за прием и регистрацию документов заявителя проверяет предоставленные документы на предмет соответствия требованиям пункта 11 административного регламента.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Пунктом 28 установлены действия специалиста, ответственного за прием и регистрацию документов заявителя, если документы соответствуют требованиям пункта 11 административного регламента.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В главе 3 (Административные процедуры) Административного регламента не предусмотрены административные действия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пунктом 11 Административного регламента.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Отсутствие положений о действиях специалиста при осуществлении административной процедуры приема и регистрации и документов в случае несоответствия представленных документов требованиям, установленным пунктом 11 Административного регламента, следует рассматривать в качестве коррупциогенного фактора состоящего в отсутствии порядка совершения органами государственной власти </w:t>
      </w:r>
      <w:r w:rsidRPr="00FA227B">
        <w:rPr>
          <w:rFonts w:ascii="Arial" w:hAnsi="Arial"/>
          <w:sz w:val="24"/>
          <w:szCs w:val="28"/>
        </w:rPr>
        <w:lastRenderedPageBreak/>
        <w:t>или органами</w:t>
      </w:r>
      <w:r w:rsidRPr="00FA227B">
        <w:rPr>
          <w:rFonts w:ascii="Arial" w:eastAsia="Calibri" w:hAnsi="Arial"/>
          <w:sz w:val="24"/>
          <w:szCs w:val="28"/>
        </w:rPr>
        <w:t xml:space="preserve"> местного самоуправления (их должностными лицами) определенных действий либо одного из элементов такого порядка</w:t>
      </w:r>
      <w:r w:rsidRPr="00FA227B">
        <w:rPr>
          <w:rFonts w:ascii="Arial" w:hAnsi="Arial"/>
          <w:sz w:val="24"/>
          <w:szCs w:val="28"/>
        </w:rPr>
        <w:t xml:space="preserve"> (подпункт «ж»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Согласно </w:t>
      </w:r>
      <w:hyperlink r:id="rId17" w:history="1">
        <w:r w:rsidRPr="00FA227B">
          <w:rPr>
            <w:rFonts w:ascii="Arial" w:hAnsi="Arial"/>
            <w:sz w:val="24"/>
            <w:szCs w:val="28"/>
          </w:rPr>
          <w:t>пункту 4 статьи 2</w:t>
        </w:r>
      </w:hyperlink>
      <w:r w:rsidRPr="00FA227B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hyperlink r:id="rId18" w:history="1">
        <w:r w:rsidRPr="00FA227B">
          <w:rPr>
            <w:rFonts w:ascii="Arial" w:hAnsi="Arial"/>
            <w:sz w:val="24"/>
            <w:szCs w:val="28"/>
          </w:rPr>
          <w:t>Пунктами 1</w:t>
        </w:r>
      </w:hyperlink>
      <w:r w:rsidRPr="00FA227B">
        <w:rPr>
          <w:rFonts w:ascii="Arial" w:hAnsi="Arial"/>
          <w:sz w:val="24"/>
          <w:szCs w:val="28"/>
        </w:rPr>
        <w:t xml:space="preserve"> и </w:t>
      </w:r>
      <w:hyperlink r:id="rId19" w:history="1">
        <w:r w:rsidRPr="00FA227B">
          <w:rPr>
            <w:rFonts w:ascii="Arial" w:hAnsi="Arial"/>
            <w:sz w:val="24"/>
            <w:szCs w:val="28"/>
          </w:rPr>
          <w:t xml:space="preserve">2 статьи 5 </w:t>
        </w:r>
      </w:hyperlink>
      <w:r w:rsidRPr="00FA227B">
        <w:rPr>
          <w:rFonts w:ascii="Arial" w:hAnsi="Arial"/>
          <w:sz w:val="24"/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Согласно </w:t>
      </w:r>
      <w:hyperlink r:id="rId20" w:history="1">
        <w:r w:rsidRPr="00FA227B">
          <w:rPr>
            <w:rFonts w:ascii="Arial" w:hAnsi="Arial"/>
            <w:sz w:val="24"/>
            <w:szCs w:val="28"/>
          </w:rPr>
          <w:t>пункту 1 части 1 статьи 6</w:t>
        </w:r>
      </w:hyperlink>
      <w:r w:rsidRPr="00FA227B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В целях соблюдения прав заявителей, соблюдения предусмотренного </w:t>
      </w:r>
      <w:hyperlink r:id="rId21" w:history="1">
        <w:r w:rsidRPr="00FA227B">
          <w:rPr>
            <w:rFonts w:ascii="Arial" w:hAnsi="Arial"/>
            <w:sz w:val="24"/>
            <w:szCs w:val="28"/>
          </w:rPr>
          <w:t>пунктом 4 статьи 4</w:t>
        </w:r>
      </w:hyperlink>
      <w:r w:rsidRPr="00FA227B">
        <w:rPr>
          <w:rFonts w:ascii="Arial" w:hAnsi="Arial"/>
          <w:sz w:val="24"/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2" w:history="1">
        <w:r w:rsidRPr="00FA227B">
          <w:rPr>
            <w:rFonts w:ascii="Arial" w:hAnsi="Arial"/>
            <w:sz w:val="24"/>
            <w:szCs w:val="28"/>
          </w:rPr>
          <w:t>пункту 4 статьи 4</w:t>
        </w:r>
      </w:hyperlink>
      <w:r w:rsidRPr="00FA227B">
        <w:rPr>
          <w:rFonts w:ascii="Arial" w:hAnsi="Arial"/>
          <w:sz w:val="24"/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Административный регламент недостаточно регулирует отношения в установленной сфере.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1. Пунктом 6 Административного регламента установлено, что 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выплат», МФЦ.</w:t>
      </w:r>
    </w:p>
    <w:p w:rsidR="00FA227B" w:rsidRPr="00FA227B" w:rsidRDefault="00FA227B" w:rsidP="00FA227B">
      <w:pPr>
        <w:ind w:firstLine="709"/>
        <w:jc w:val="both"/>
        <w:rPr>
          <w:rFonts w:ascii="Arial" w:eastAsia="Calibri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lastRenderedPageBreak/>
        <w:t>Согласно подпункту 3 пункта 16 Порядка разработки и утверждения административных регламентов в регламент включается раздел, предусматривающий состав, последовательность и сроки выполнения административных процедур (действий), требования к порядку их выполнения, в том числе особенности выполнения административных процеду</w:t>
      </w:r>
      <w:r w:rsidRPr="00FA227B">
        <w:rPr>
          <w:rFonts w:ascii="Arial" w:eastAsia="Calibri" w:hAnsi="Arial"/>
          <w:sz w:val="24"/>
          <w:szCs w:val="28"/>
        </w:rPr>
        <w:t>р (действий) в электронной форме, а также особенности выполнения административных процедур в многофункциональных центрах.</w:t>
      </w:r>
    </w:p>
    <w:p w:rsidR="00FA227B" w:rsidRPr="00FA227B" w:rsidRDefault="00FA227B" w:rsidP="00FA227B">
      <w:pPr>
        <w:autoSpaceDE w:val="0"/>
        <w:autoSpaceDN w:val="0"/>
        <w:adjustRightInd w:val="0"/>
        <w:ind w:firstLine="709"/>
        <w:jc w:val="both"/>
        <w:rPr>
          <w:rFonts w:ascii="Arial" w:eastAsia="Calibri" w:hAnsi="Arial"/>
          <w:sz w:val="24"/>
          <w:szCs w:val="28"/>
        </w:rPr>
      </w:pPr>
      <w:r w:rsidRPr="00FA227B">
        <w:rPr>
          <w:rFonts w:ascii="Arial" w:eastAsia="Calibri" w:hAnsi="Arial"/>
          <w:sz w:val="24"/>
          <w:szCs w:val="28"/>
        </w:rPr>
        <w:t>Глава 3 (Административные процедуры) Административного регламента не предусматривает особенности выполнения административных процедур в многофункциональных центрах.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2.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bCs/>
          <w:sz w:val="24"/>
          <w:szCs w:val="28"/>
        </w:rPr>
        <w:t xml:space="preserve">Подпунктом 3 пункта 23 </w:t>
      </w:r>
      <w:r w:rsidRPr="00FA227B">
        <w:rPr>
          <w:rFonts w:ascii="Arial" w:hAnsi="Arial"/>
          <w:sz w:val="24"/>
          <w:szCs w:val="28"/>
        </w:rPr>
        <w:t>Порядка разработки и утверждения административных регламентов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- обращение с заявлением о прекращении рассмотрения жалобы.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3.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3" w:tgtFrame="_self" w:history="1">
        <w:r w:rsidRPr="00FA227B">
          <w:rPr>
            <w:rFonts w:ascii="Arial" w:hAnsi="Arial"/>
            <w:sz w:val="24"/>
            <w:szCs w:val="28"/>
          </w:rPr>
          <w:t>Кодексом</w:t>
        </w:r>
      </w:hyperlink>
      <w:r w:rsidRPr="00FA227B">
        <w:rPr>
          <w:rFonts w:ascii="Arial" w:hAnsi="Arial"/>
          <w:sz w:val="24"/>
          <w:szCs w:val="28"/>
        </w:rPr>
        <w:t xml:space="preserve"> Костромской области об административных правонарушениях.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 xml:space="preserve"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445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10.10.2012 № 666, от </w:t>
      </w:r>
      <w:r w:rsidRPr="00FA227B">
        <w:rPr>
          <w:rFonts w:ascii="Arial" w:hAnsi="Arial"/>
          <w:sz w:val="24"/>
          <w:szCs w:val="28"/>
        </w:rPr>
        <w:lastRenderedPageBreak/>
        <w:t>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сфере.</w:t>
      </w:r>
    </w:p>
    <w:p w:rsidR="00FA227B" w:rsidRPr="00FA227B" w:rsidRDefault="00FA227B" w:rsidP="00FA227B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В целях устранения выявленных коррупциогенных факторов предлагаем:</w:t>
      </w:r>
    </w:p>
    <w:p w:rsidR="00FA227B" w:rsidRPr="00FA227B" w:rsidRDefault="00FA227B" w:rsidP="00FA227B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- в пункте 18 Административного регламента исключить слова «в случае необходимости (по усмотрению руководства уполномоченного органа)»;</w:t>
      </w:r>
    </w:p>
    <w:p w:rsidR="00FA227B" w:rsidRPr="00FA227B" w:rsidRDefault="00FA227B" w:rsidP="00FA227B">
      <w:pPr>
        <w:autoSpaceDE w:val="0"/>
        <w:autoSpaceDN w:val="0"/>
        <w:adjustRightInd w:val="0"/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- дополнить главу 3 Административного регламента положениями о действиях специалиста при осуществлении административной процедуры приема и регистрации документов в случае несоответствия представленных документов требованиям, установленным пунктом 11 Административного регламента.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  <w:r w:rsidRPr="00FA227B">
        <w:rPr>
          <w:rFonts w:ascii="Arial" w:hAnsi="Arial"/>
          <w:sz w:val="24"/>
          <w:szCs w:val="28"/>
        </w:rPr>
        <w:t>Начальник                                          Л.О. Докторов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  <w:szCs w:val="28"/>
        </w:rPr>
      </w:pP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</w:rPr>
      </w:pPr>
      <w:r w:rsidRPr="00FA227B">
        <w:rPr>
          <w:rFonts w:ascii="Arial" w:hAnsi="Arial"/>
          <w:sz w:val="24"/>
        </w:rPr>
        <w:t xml:space="preserve">Н.В. Блинова </w:t>
      </w:r>
    </w:p>
    <w:p w:rsidR="00FA227B" w:rsidRPr="00FA227B" w:rsidRDefault="00FA227B" w:rsidP="00FA227B">
      <w:pPr>
        <w:ind w:firstLine="709"/>
        <w:jc w:val="both"/>
        <w:rPr>
          <w:rFonts w:ascii="Arial" w:hAnsi="Arial"/>
          <w:sz w:val="24"/>
        </w:rPr>
      </w:pPr>
      <w:r w:rsidRPr="00FA227B">
        <w:rPr>
          <w:rFonts w:ascii="Arial" w:hAnsi="Arial"/>
          <w:sz w:val="24"/>
        </w:rPr>
        <w:t>47-03-14</w:t>
      </w:r>
    </w:p>
    <w:sectPr w:rsidR="00FA227B" w:rsidRPr="00FA227B" w:rsidSect="00DF0254">
      <w:headerReference w:type="default" r:id="rId24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3E5AD8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fldChar w:fldCharType="end"/>
    </w:r>
  </w:p>
  <w:p w:rsidR="003F07C2" w:rsidRDefault="003E5AD8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32284B"/>
    <w:rsid w:val="003E5AD8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A227B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A227B"/>
    <w:rPr>
      <w:rFonts w:ascii="Times New Roman" w:eastAsia="Times New Roman" w:hAnsi="Times New Roman"/>
    </w:rPr>
  </w:style>
  <w:style w:type="paragraph" w:styleId="1">
    <w:name w:val="heading 1"/>
    <w:aliases w:val="!Части документа"/>
    <w:basedOn w:val="a"/>
    <w:next w:val="a"/>
    <w:link w:val="10"/>
    <w:qFormat/>
    <w:rsid w:val="00FA227B"/>
    <w:pPr>
      <w:ind w:firstLine="567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A227B"/>
    <w:pPr>
      <w:ind w:firstLine="567"/>
      <w:jc w:val="center"/>
      <w:outlineLvl w:val="1"/>
    </w:pPr>
    <w:rPr>
      <w:rFonts w:ascii="Arial" w:hAnsi="Arial"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A227B"/>
    <w:pPr>
      <w:ind w:firstLine="567"/>
      <w:jc w:val="both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A227B"/>
    <w:pPr>
      <w:ind w:firstLine="567"/>
      <w:jc w:val="both"/>
      <w:outlineLvl w:val="3"/>
    </w:pPr>
    <w:rPr>
      <w:rFonts w:ascii="Arial" w:hAnsi="Arial"/>
      <w:b/>
      <w:bCs/>
      <w:sz w:val="26"/>
      <w:szCs w:val="28"/>
    </w:rPr>
  </w:style>
  <w:style w:type="character" w:default="1" w:styleId="a0">
    <w:name w:val="Default Paragraph Font"/>
    <w:semiHidden/>
    <w:rsid w:val="00FA227B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A227B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FA22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A227B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FA227B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FA227B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A227B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A227B"/>
    <w:pPr>
      <w:ind w:firstLine="567"/>
      <w:jc w:val="both"/>
    </w:pPr>
    <w:rPr>
      <w:rFonts w:ascii="Courier" w:hAnsi="Courier"/>
      <w:sz w:val="22"/>
    </w:rPr>
  </w:style>
  <w:style w:type="character" w:customStyle="1" w:styleId="a4">
    <w:name w:val="Текст примечания Знак"/>
    <w:basedOn w:val="a0"/>
    <w:link w:val="a3"/>
    <w:semiHidden/>
    <w:rsid w:val="00FA227B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A227B"/>
    <w:pPr>
      <w:spacing w:before="240" w:after="60"/>
      <w:ind w:firstLine="567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5">
    <w:name w:val="Hyperlink"/>
    <w:basedOn w:val="a0"/>
    <w:rsid w:val="00FA227B"/>
    <w:rPr>
      <w:color w:val="0000FF"/>
      <w:u w:val="none"/>
    </w:rPr>
  </w:style>
  <w:style w:type="paragraph" w:customStyle="1" w:styleId="Application">
    <w:name w:val="Application!Приложение"/>
    <w:rsid w:val="00FA227B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A227B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A227B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A227B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FA227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A227B"/>
    <w:rPr>
      <w:rFonts w:ascii="Times New Roman" w:eastAsia="Times New Roman" w:hAnsi="Times New Roman"/>
    </w:rPr>
  </w:style>
  <w:style w:type="paragraph" w:customStyle="1" w:styleId="Preformat">
    <w:name w:val="Preformat"/>
    <w:rsid w:val="00FA227B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aption">
    <w:name w:val="caption"/>
    <w:basedOn w:val="a"/>
    <w:rsid w:val="00FA227B"/>
    <w:pPr>
      <w:spacing w:before="240" w:after="60"/>
      <w:ind w:firstLine="567"/>
      <w:jc w:val="center"/>
    </w:pPr>
    <w:rPr>
      <w:rFonts w:ascii="Arial" w:hAnsi="Arial"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15d4560c-d530-4955-bf7e-f734337ae80b.html" TargetMode="External"/><Relationship Id="rId13" Type="http://schemas.openxmlformats.org/officeDocument/2006/relationships/hyperlink" Target="file:///C:\content\act\0ca7fe06-5331-4a10-bfad-2934e730cdb8.html" TargetMode="External"/><Relationship Id="rId18" Type="http://schemas.openxmlformats.org/officeDocument/2006/relationships/hyperlink" Target="consultantplus://offline/ref=AC7B6018C16C4663144BF375E2526787A0C4BD774CDE5CD65E41FBDC14151A9BB323A055C101AEAFrCa5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AC7B6018C16C4663144BF375E2526787A0C4BD774CDE5CD65E41FBDC14151A9BB323A055C101AEAErCa8I" TargetMode="External"/><Relationship Id="rId7" Type="http://schemas.openxmlformats.org/officeDocument/2006/relationships/hyperlink" Target="consultantplus://offline/ref=CE61CB5AA6E136F5CB96A73F161B5368C70BB252971645ED3B24D0EED20BE2366B07B4D91DE014312Bb9L" TargetMode="External"/><Relationship Id="rId12" Type="http://schemas.openxmlformats.org/officeDocument/2006/relationships/hyperlink" Target="file:///C:\content\act\460132d5-9171-404a-b417-53f46c4429db.html" TargetMode="External"/><Relationship Id="rId17" Type="http://schemas.openxmlformats.org/officeDocument/2006/relationships/hyperlink" Target="consultantplus://offline/ref=AC7B6018C16C4663144BF375E2526787A0C4BD774CDE5CD65E41FBDC14151A9BB323A055C101AEADrCa9I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content\act\07120b89-d89e-494f-8db9-61ba2013cc22.html" TargetMode="External"/><Relationship Id="rId20" Type="http://schemas.openxmlformats.org/officeDocument/2006/relationships/hyperlink" Target="consultantplus://offline/ref=AC7B6018C16C4663144BF375E2526787A0C4BD774CDE5CD65E41FBDC14151A9BB323A056rCa6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CE61CB5AA6E136F5CB96A73F161B5368C70BB252971645ED3B24D0EED20BE2366B07B4D91DE013312BbFL" TargetMode="External"/><Relationship Id="rId11" Type="http://schemas.openxmlformats.org/officeDocument/2006/relationships/hyperlink" Target="file:///C:\content\act\60fec214-96b6-4b0e-a9f4-96ac5251a64b.html" TargetMode="External"/><Relationship Id="rId24" Type="http://schemas.openxmlformats.org/officeDocument/2006/relationships/header" Target="header1.xml"/><Relationship Id="rId5" Type="http://schemas.openxmlformats.org/officeDocument/2006/relationships/hyperlink" Target="consultantplus://offline/ref=241DA778F165B855DC5CE819F2ABE73DF2065955619DEB875A3B42298D05921D48EFF5E4532F511D2EU3L" TargetMode="External"/><Relationship Id="rId15" Type="http://schemas.openxmlformats.org/officeDocument/2006/relationships/hyperlink" Target="file:///C:\content\act\9aa48369-618a-4bb4-b4b8-ae15f2b7ebf6.html" TargetMode="External"/><Relationship Id="rId23" Type="http://schemas.openxmlformats.org/officeDocument/2006/relationships/hyperlink" Target="consultantplus://offline/ref=F04F566FEA9042158CB6FAC7DE2CA53A73BC2179397BC00E6E4E725DCC7B50FA30E8F3BC09222FDE3CA2BBn7uEJ" TargetMode="External"/><Relationship Id="rId10" Type="http://schemas.openxmlformats.org/officeDocument/2006/relationships/hyperlink" Target="file:///C:\content\act\5724afaa-4194-470c-8df3-8737d9c801c7.html" TargetMode="External"/><Relationship Id="rId19" Type="http://schemas.openxmlformats.org/officeDocument/2006/relationships/hyperlink" Target="consultantplus://offline/ref=AC7B6018C16C4663144BF375E2526787A0C4BD774CDE5CD65E41FBDC14151A9BB323A055C101AEAFrCa4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bba0bfb1-06c7-4e50-a8d3-fe1045784bf1.html" TargetMode="External"/><Relationship Id="rId14" Type="http://schemas.openxmlformats.org/officeDocument/2006/relationships/hyperlink" Target="file:///C:\content\act\91e7be06-9a84-4cff-931d-1df8bc2444aa.html" TargetMode="External"/><Relationship Id="rId22" Type="http://schemas.openxmlformats.org/officeDocument/2006/relationships/hyperlink" Target="consultantplus://offline/ref=AC7B6018C16C4663144BF375E2526787A0C4BD774CDE5CD65E41FBDC14151A9BB323A055C101AEAErCa8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0C9854-E3D6-4FBC-A463-0E92E083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3520</Words>
  <Characters>20069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2</cp:revision>
  <dcterms:created xsi:type="dcterms:W3CDTF">2014-07-23T08:30:00Z</dcterms:created>
  <dcterms:modified xsi:type="dcterms:W3CDTF">2014-07-23T08:30:00Z</dcterms:modified>
</cp:coreProperties>
</file>