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4B545F" w:rsidRPr="004B545F" w:rsidTr="008746FA">
        <w:trPr>
          <w:trHeight w:val="3576"/>
        </w:trPr>
        <w:tc>
          <w:tcPr>
            <w:tcW w:w="4928" w:type="dxa"/>
          </w:tcPr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  <w:szCs w:val="22"/>
              </w:rPr>
              <w:t>МИНИСТЕРСТВО ЮСТИЦИИ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  <w:szCs w:val="22"/>
              </w:rPr>
              <w:t>РОССИЙСКОЙ ФЕДЕРАЦИИ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</w:rPr>
              <w:t>(МИНЮСТ РОССИИ)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  <w:szCs w:val="22"/>
              </w:rPr>
              <w:t>Управление Министерства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  <w:szCs w:val="22"/>
              </w:rPr>
              <w:t>юстиции Российской Федерации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</w:rPr>
            </w:pPr>
            <w:r w:rsidRPr="004B545F">
              <w:rPr>
                <w:rFonts w:ascii="Arial" w:hAnsi="Arial"/>
                <w:szCs w:val="22"/>
              </w:rPr>
              <w:t>по Костромской области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</w:rPr>
              <w:t>ул. Симановского, д. 105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</w:rPr>
              <w:t>г. Кострома, 156002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</w:rPr>
              <w:t>Тел./факс: (4942) 45-42-22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  <w:lang w:val="en-US"/>
              </w:rPr>
              <w:t>e</w:t>
            </w:r>
            <w:r w:rsidRPr="004B545F">
              <w:rPr>
                <w:rFonts w:ascii="Arial" w:hAnsi="Arial"/>
                <w:szCs w:val="20"/>
              </w:rPr>
              <w:t>-</w:t>
            </w:r>
            <w:r w:rsidRPr="004B545F">
              <w:rPr>
                <w:rFonts w:ascii="Arial" w:hAnsi="Arial"/>
                <w:szCs w:val="20"/>
                <w:lang w:val="en-US"/>
              </w:rPr>
              <w:t>mail</w:t>
            </w:r>
            <w:r w:rsidRPr="004B545F">
              <w:rPr>
                <w:rFonts w:ascii="Arial" w:hAnsi="Arial"/>
                <w:szCs w:val="20"/>
              </w:rPr>
              <w:t xml:space="preserve">: </w:t>
            </w:r>
            <w:r w:rsidRPr="004B545F">
              <w:rPr>
                <w:rFonts w:ascii="Arial" w:hAnsi="Arial"/>
                <w:szCs w:val="20"/>
                <w:lang w:val="en-US"/>
              </w:rPr>
              <w:t>ru</w:t>
            </w:r>
            <w:r w:rsidRPr="004B545F">
              <w:rPr>
                <w:rFonts w:ascii="Arial" w:hAnsi="Arial"/>
                <w:szCs w:val="20"/>
              </w:rPr>
              <w:t>44@</w:t>
            </w:r>
            <w:r w:rsidRPr="004B545F">
              <w:rPr>
                <w:rFonts w:ascii="Arial" w:hAnsi="Arial"/>
                <w:szCs w:val="20"/>
                <w:lang w:val="en-US"/>
              </w:rPr>
              <w:t>minjust</w:t>
            </w:r>
            <w:r w:rsidRPr="004B545F">
              <w:rPr>
                <w:rFonts w:ascii="Arial" w:hAnsi="Arial"/>
                <w:szCs w:val="20"/>
              </w:rPr>
              <w:t>.</w:t>
            </w:r>
            <w:r w:rsidRPr="004B545F">
              <w:rPr>
                <w:rFonts w:ascii="Arial" w:hAnsi="Arial"/>
                <w:szCs w:val="20"/>
                <w:lang w:val="en-US"/>
              </w:rPr>
              <w:t>ru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</w:rPr>
              <w:t xml:space="preserve">18.06.2014  </w:t>
            </w:r>
            <w:r w:rsidRPr="004B545F">
              <w:rPr>
                <w:rFonts w:ascii="Arial" w:hAnsi="Arial"/>
                <w:szCs w:val="20"/>
              </w:rPr>
              <w:t>№</w:t>
            </w:r>
            <w:r w:rsidRPr="004B545F">
              <w:rPr>
                <w:rFonts w:ascii="Arial" w:hAnsi="Arial"/>
                <w:szCs w:val="20"/>
              </w:rPr>
              <w:t xml:space="preserve">  44-04/1842</w:t>
            </w: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4B545F" w:rsidRPr="004B545F" w:rsidRDefault="004B545F" w:rsidP="004B545F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4B545F">
              <w:rPr>
                <w:rFonts w:ascii="Arial" w:hAnsi="Arial"/>
                <w:szCs w:val="20"/>
              </w:rPr>
              <w:t>На № _______ от ___________</w:t>
            </w:r>
          </w:p>
        </w:tc>
      </w:tr>
    </w:tbl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</w:p>
    <w:p w:rsidR="004B545F" w:rsidRPr="004B545F" w:rsidRDefault="004B545F" w:rsidP="004B545F">
      <w:pPr>
        <w:ind w:firstLine="709"/>
        <w:jc w:val="center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t>Директору департамента социальной защиты населения, опеки и попечительства Костромской области</w:t>
      </w:r>
    </w:p>
    <w:p w:rsidR="004B545F" w:rsidRPr="004B545F" w:rsidRDefault="004B545F" w:rsidP="004B545F">
      <w:pPr>
        <w:ind w:firstLine="709"/>
        <w:jc w:val="center"/>
        <w:rPr>
          <w:rFonts w:ascii="Arial" w:hAnsi="Arial"/>
          <w:bCs/>
          <w:szCs w:val="28"/>
        </w:rPr>
      </w:pPr>
    </w:p>
    <w:p w:rsidR="004B545F" w:rsidRPr="004B545F" w:rsidRDefault="004B545F" w:rsidP="004B545F">
      <w:pPr>
        <w:ind w:firstLine="709"/>
        <w:jc w:val="center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t>И.В. Прудникову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6"/>
        </w:rPr>
      </w:pPr>
    </w:p>
    <w:p w:rsidR="004B545F" w:rsidRPr="004B545F" w:rsidRDefault="004B545F" w:rsidP="004B545F">
      <w:pPr>
        <w:ind w:firstLine="709"/>
        <w:jc w:val="center"/>
        <w:rPr>
          <w:rFonts w:ascii="Arial" w:hAnsi="Arial"/>
          <w:szCs w:val="26"/>
        </w:rPr>
      </w:pPr>
      <w:r w:rsidRPr="004B545F">
        <w:rPr>
          <w:rFonts w:ascii="Arial" w:hAnsi="Arial"/>
          <w:szCs w:val="26"/>
        </w:rPr>
        <w:t>“16” июня 2014                                                                                          № 12323</w:t>
      </w:r>
    </w:p>
    <w:p w:rsidR="004B545F" w:rsidRPr="004B545F" w:rsidRDefault="004B545F" w:rsidP="004B545F">
      <w:pPr>
        <w:ind w:firstLine="709"/>
        <w:jc w:val="center"/>
        <w:rPr>
          <w:rFonts w:ascii="Arial" w:hAnsi="Arial"/>
          <w:szCs w:val="28"/>
        </w:rPr>
      </w:pPr>
    </w:p>
    <w:p w:rsidR="004B545F" w:rsidRPr="004B545F" w:rsidRDefault="004B545F" w:rsidP="004B545F">
      <w:pPr>
        <w:pStyle w:val="1"/>
        <w:ind w:firstLine="709"/>
        <w:rPr>
          <w:bCs w:val="0"/>
          <w:sz w:val="24"/>
        </w:rPr>
      </w:pPr>
      <w:r w:rsidRPr="004B545F">
        <w:rPr>
          <w:sz w:val="24"/>
        </w:rPr>
        <w:t>ЭКСПЕРТНОЕ ЗАКЛЮЧЕНИЕ</w:t>
      </w:r>
    </w:p>
    <w:p w:rsidR="004B545F" w:rsidRPr="004B545F" w:rsidRDefault="004B545F" w:rsidP="004B545F">
      <w:pPr>
        <w:ind w:firstLine="709"/>
        <w:jc w:val="center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t>по результатам проведения правовой экспертизы</w:t>
      </w:r>
    </w:p>
    <w:p w:rsidR="004B545F" w:rsidRPr="004B545F" w:rsidRDefault="004B545F" w:rsidP="004B545F">
      <w:pPr>
        <w:pStyle w:val="11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center"/>
        <w:rPr>
          <w:rFonts w:ascii="Arial" w:hAnsi="Arial"/>
          <w:b/>
          <w:szCs w:val="28"/>
        </w:rPr>
      </w:pPr>
      <w:r w:rsidRPr="004B545F">
        <w:rPr>
          <w:rFonts w:ascii="Arial" w:hAnsi="Arial"/>
          <w:b/>
          <w:szCs w:val="28"/>
        </w:rPr>
        <w:t>на приказ департамента социальной защиты населения, опеки и попечительства Костромской области от 28.06.2012 № 451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647, от 01.07.2013 № 338, от 14.05.2014 № 236)</w:t>
      </w:r>
    </w:p>
    <w:p w:rsidR="004B545F" w:rsidRPr="004B545F" w:rsidRDefault="004B545F" w:rsidP="004B545F">
      <w:pPr>
        <w:tabs>
          <w:tab w:val="left" w:pos="9143"/>
        </w:tabs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</w:p>
    <w:p w:rsidR="004B545F" w:rsidRPr="004B545F" w:rsidRDefault="004B545F" w:rsidP="004B545F">
      <w:pPr>
        <w:tabs>
          <w:tab w:val="left" w:pos="9143"/>
        </w:tabs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Минюста России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451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647, от 01.07.2013 № 338, от 14.05.2014 № 236) (далее - приказ)</w:t>
      </w:r>
      <w:r w:rsidRPr="004B545F">
        <w:rPr>
          <w:rFonts w:ascii="Arial" w:hAnsi="Arial"/>
          <w:bCs/>
          <w:szCs w:val="28"/>
        </w:rPr>
        <w:t>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Поводом проведения правовой экспертизы является внесение изменений в рассматриваемый приказ.</w:t>
      </w:r>
    </w:p>
    <w:p w:rsidR="004B545F" w:rsidRPr="004B545F" w:rsidRDefault="004B545F" w:rsidP="004B545F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B545F">
        <w:rPr>
          <w:rFonts w:ascii="Arial" w:hAnsi="Arial"/>
          <w:b w:val="0"/>
          <w:szCs w:val="28"/>
        </w:rPr>
        <w:t xml:space="preserve">В целях повышения качества предоставления и доступности государственной услуги, </w:t>
      </w:r>
      <w:r w:rsidRPr="004B545F">
        <w:rPr>
          <w:rFonts w:ascii="Arial" w:hAnsi="Arial"/>
          <w:b w:val="0"/>
          <w:spacing w:val="-2"/>
          <w:szCs w:val="28"/>
        </w:rPr>
        <w:t>создания комфортных условий для участников отношений, возникающих при предоставлении государственной услуги,</w:t>
      </w:r>
      <w:r w:rsidRPr="004B545F">
        <w:rPr>
          <w:rFonts w:ascii="Arial" w:hAnsi="Arial"/>
          <w:b w:val="0"/>
          <w:szCs w:val="28"/>
        </w:rPr>
        <w:t xml:space="preserve"> </w:t>
      </w:r>
      <w:r w:rsidRPr="004B545F">
        <w:rPr>
          <w:rStyle w:val="12"/>
          <w:rFonts w:ascii="Arial" w:hAnsi="Arial"/>
          <w:b w:val="0"/>
          <w:sz w:val="24"/>
        </w:rPr>
        <w:t xml:space="preserve">настоящим </w:t>
      </w:r>
      <w:r w:rsidRPr="004B545F">
        <w:rPr>
          <w:rFonts w:ascii="Arial" w:hAnsi="Arial"/>
          <w:b w:val="0"/>
          <w:szCs w:val="28"/>
        </w:rPr>
        <w:t>приказом:</w:t>
      </w:r>
    </w:p>
    <w:p w:rsidR="004B545F" w:rsidRPr="004B545F" w:rsidRDefault="004B545F" w:rsidP="004B545F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B545F">
        <w:rPr>
          <w:rFonts w:ascii="Arial" w:hAnsi="Arial"/>
          <w:b w:val="0"/>
          <w:szCs w:val="28"/>
        </w:rPr>
        <w:t>1.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</w:t>
      </w:r>
      <w:r w:rsidRPr="004B545F">
        <w:rPr>
          <w:rFonts w:ascii="Arial" w:hAnsi="Arial"/>
          <w:b w:val="0"/>
          <w:bCs w:val="0"/>
          <w:szCs w:val="28"/>
        </w:rPr>
        <w:t xml:space="preserve"> </w:t>
      </w:r>
      <w:r w:rsidRPr="004B545F">
        <w:rPr>
          <w:rFonts w:ascii="Arial" w:hAnsi="Arial"/>
          <w:b w:val="0"/>
          <w:szCs w:val="28"/>
        </w:rPr>
        <w:t xml:space="preserve">ежемесячной денежной компенсации на приобретение продовольственных товаров гражданам, подвергшимся радиационному </w:t>
      </w:r>
      <w:r w:rsidRPr="004B545F">
        <w:rPr>
          <w:rFonts w:ascii="Arial" w:hAnsi="Arial"/>
          <w:b w:val="0"/>
          <w:szCs w:val="28"/>
        </w:rPr>
        <w:lastRenderedPageBreak/>
        <w:t>воздействию вследствие ядерных испытаний на Семипалатинском полигоне, получившим суммарную (накопленную) эффективную дозу облучения, превышающую 25 с3в (бэр) (далее – Административный регламент);</w:t>
      </w:r>
    </w:p>
    <w:p w:rsidR="004B545F" w:rsidRPr="004B545F" w:rsidRDefault="004B545F" w:rsidP="004B545F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B545F">
        <w:rPr>
          <w:rFonts w:ascii="Arial" w:hAnsi="Arial"/>
          <w:b w:val="0"/>
          <w:szCs w:val="28"/>
        </w:rPr>
        <w:t>2. признается утратившим силу приказ департамента социальной защиты населения, опеки и попечительства Костромской области от 26.01.2010 № 23 «Об утверждении административного регламента».</w:t>
      </w:r>
    </w:p>
    <w:p w:rsidR="004B545F" w:rsidRPr="004B545F" w:rsidRDefault="004B545F" w:rsidP="004B545F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4B545F">
        <w:rPr>
          <w:rFonts w:ascii="Arial" w:hAnsi="Arial"/>
          <w:b w:val="0"/>
          <w:szCs w:val="28"/>
        </w:rPr>
        <w:t xml:space="preserve">Таким образом, предметом правового регулирования приказа являются общественные отношения, складывающиеся в сфере предоставления государственной услуги. 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соответствии с пунктами «ж» и «к» части 1 статьи 72 Конституции Российской Федерации социальная защита, включая социальное обеспечение, административное законодательство находятся в совместном ведении Российской Федерации и субъектов Российской Федерации.</w:t>
      </w:r>
    </w:p>
    <w:p w:rsidR="004B545F" w:rsidRPr="004B545F" w:rsidRDefault="004B545F" w:rsidP="004B545F">
      <w:pPr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4B545F" w:rsidRPr="004B545F" w:rsidRDefault="004B545F" w:rsidP="004B545F">
      <w:pPr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Пунктом 3 Правил выплаты гражданам, подвергшимся радиационному воздействию вследствие ядерных испытаний на Семипалатинском полигоне, ежемесячной денежной компенсации на приобретение продовольственных товаров, утвержденных Постановлением Правительства Российской Федерации от 30.12.2004 № 882 «О мерах социальной поддержки граждан, подвергшихся радиационному воздействию вследствие ядерных испытаний на Семипалатинском полигоне», предусмотрено, что для получения ежемесячной компенсации граждане обращаются по месту жительства в орган в сфере социальной защиты населения, уполномоченный органом государственной власти субъекта Российской Федерации в соответствии с законодательством субъекта Российской Федерации.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B545F">
        <w:rPr>
          <w:rFonts w:ascii="Arial" w:eastAsiaTheme="minorHAnsi" w:hAnsi="Arial"/>
          <w:szCs w:val="28"/>
          <w:lang w:eastAsia="en-US"/>
        </w:rPr>
        <w:t>Согласно подпункту 10 пункта 10 постановления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выплате ежемесячной денежной компенсации на приобретение продовольственных товаров гражданам, подвергшихся радиационному воздействию вследствие ядерных испытаний на Семипалатинском полигоне и получившим суммарную (накопленную) эффективную дозу облучения, превышающую 25 сЗв (бэр).</w:t>
      </w:r>
    </w:p>
    <w:p w:rsidR="004B545F" w:rsidRPr="004B545F" w:rsidRDefault="004B545F" w:rsidP="004B545F">
      <w:pPr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B545F">
        <w:rPr>
          <w:rFonts w:ascii="Arial" w:eastAsiaTheme="minorHAnsi" w:hAnsi="Arial"/>
          <w:szCs w:val="28"/>
          <w:lang w:eastAsia="en-US"/>
        </w:rPr>
        <w:t xml:space="preserve">Согласно пункту 18 </w:t>
      </w:r>
      <w:r w:rsidRPr="004B545F">
        <w:rPr>
          <w:rFonts w:ascii="Arial" w:eastAsia="Calibri" w:hAnsi="Arial"/>
          <w:szCs w:val="28"/>
        </w:rPr>
        <w:t xml:space="preserve">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</w:t>
      </w:r>
      <w:r w:rsidRPr="004B545F">
        <w:rPr>
          <w:rFonts w:ascii="Arial" w:eastAsiaTheme="minorHAnsi" w:hAnsi="Arial"/>
          <w:szCs w:val="28"/>
          <w:lang w:eastAsia="en-US"/>
        </w:rPr>
        <w:t>департамент социальной защиты населения, опеки и попечительства Костромской области издает правовые акты Департамента в установленной сфере деятельности.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силу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соответствии с частью 14 статьи 13 Федерального закона от 27.07.2010 № 210-ФЗ «Об организации предоставления государственных и муниципальных услуг»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</w:t>
      </w:r>
      <w:r w:rsidRPr="004B545F">
        <w:rPr>
          <w:rFonts w:ascii="Arial" w:hAnsi="Arial"/>
          <w:szCs w:val="28"/>
        </w:rPr>
        <w:lastRenderedPageBreak/>
        <w:t>исполнительными органами государственной власти Костромской области,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предусмотрено, что административные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  <w:r w:rsidRPr="004B545F">
        <w:rPr>
          <w:rFonts w:ascii="Arial" w:eastAsia="Calibri" w:hAnsi="Arial"/>
          <w:szCs w:val="28"/>
        </w:rPr>
        <w:t xml:space="preserve">Таким образом, </w:t>
      </w:r>
      <w:r w:rsidRPr="004B545F">
        <w:rPr>
          <w:rFonts w:ascii="Arial" w:hAnsi="Arial"/>
          <w:bCs/>
          <w:szCs w:val="28"/>
        </w:rPr>
        <w:t>данный приказ принят департаментом социальной защиты населения, опеки и попечительства Костромской области</w:t>
      </w:r>
      <w:r w:rsidRPr="004B545F">
        <w:rPr>
          <w:rFonts w:ascii="Arial" w:eastAsiaTheme="minorHAnsi" w:hAnsi="Arial"/>
          <w:szCs w:val="28"/>
          <w:lang w:eastAsia="en-US"/>
        </w:rPr>
        <w:t xml:space="preserve"> </w:t>
      </w:r>
      <w:r w:rsidRPr="004B545F">
        <w:rPr>
          <w:rFonts w:ascii="Arial" w:hAnsi="Arial"/>
          <w:bCs/>
          <w:szCs w:val="28"/>
        </w:rPr>
        <w:t>в пределах своих полномочий</w:t>
      </w:r>
      <w:r w:rsidRPr="004B545F">
        <w:rPr>
          <w:rFonts w:ascii="Arial" w:eastAsia="Calibri" w:hAnsi="Arial"/>
          <w:szCs w:val="28"/>
        </w:rPr>
        <w:t>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eastAsia="Calibri" w:hAnsi="Arial"/>
          <w:szCs w:val="28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4B545F">
          <w:rPr>
            <w:rStyle w:val="a5"/>
            <w:rFonts w:ascii="Arial" w:hAnsi="Arial"/>
          </w:rPr>
          <w:t>Конституцией Российской Федерации</w:t>
        </w:r>
      </w:hyperlink>
      <w:r w:rsidRPr="004B545F">
        <w:rPr>
          <w:rFonts w:ascii="Arial" w:hAnsi="Arial"/>
          <w:bCs/>
          <w:szCs w:val="28"/>
        </w:rPr>
        <w:t>,</w:t>
      </w:r>
      <w:r w:rsidRPr="004B545F">
        <w:rPr>
          <w:rFonts w:ascii="Arial" w:hAnsi="Arial"/>
          <w:szCs w:val="28"/>
        </w:rPr>
        <w:t xml:space="preserve"> </w:t>
      </w:r>
      <w:r w:rsidRPr="004B545F">
        <w:rPr>
          <w:rFonts w:ascii="Arial" w:eastAsia="Calibri" w:hAnsi="Arial"/>
          <w:szCs w:val="28"/>
        </w:rPr>
        <w:t>федеральными законами</w:t>
      </w:r>
      <w:r w:rsidRPr="004B545F">
        <w:rPr>
          <w:rFonts w:ascii="Arial" w:hAnsi="Arial"/>
          <w:szCs w:val="28"/>
        </w:rPr>
        <w:t xml:space="preserve"> от </w:t>
      </w:r>
      <w:hyperlink r:id="rId6" w:history="1">
        <w:r w:rsidRPr="004B545F">
          <w:rPr>
            <w:rStyle w:val="a5"/>
            <w:rFonts w:ascii="Arial" w:hAnsi="Arial"/>
          </w:rPr>
          <w:t>06.10.1999 № 184-ФЗ</w:t>
        </w:r>
      </w:hyperlink>
      <w:r w:rsidRPr="004B545F">
        <w:rPr>
          <w:rFonts w:ascii="Arial" w:hAnsi="Arial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7" w:tgtFrame="_self" w:history="1">
        <w:r w:rsidRPr="004B545F">
          <w:rPr>
            <w:rStyle w:val="a5"/>
            <w:rFonts w:ascii="Arial" w:hAnsi="Arial"/>
          </w:rPr>
          <w:t>от 27.07.2010 № 210-ФЗ</w:t>
        </w:r>
      </w:hyperlink>
      <w:r w:rsidRPr="004B545F">
        <w:rPr>
          <w:rFonts w:ascii="Arial" w:hAnsi="Arial"/>
          <w:szCs w:val="28"/>
        </w:rPr>
        <w:t xml:space="preserve"> «Об организации предоставления государственных и муниципальных услуг», </w:t>
      </w:r>
      <w:hyperlink r:id="rId8" w:tgtFrame="_self" w:history="1">
        <w:r w:rsidRPr="004B545F">
          <w:rPr>
            <w:rStyle w:val="a5"/>
            <w:rFonts w:ascii="Arial" w:hAnsi="Arial"/>
          </w:rPr>
          <w:t>от 10.01.2002 № 2-ФЗ</w:t>
        </w:r>
      </w:hyperlink>
      <w:r w:rsidRPr="004B545F">
        <w:rPr>
          <w:rFonts w:ascii="Arial" w:hAnsi="Arial"/>
          <w:szCs w:val="28"/>
        </w:rPr>
        <w:t xml:space="preserve"> «О социальных гарантиях гражданам, подвергшихся радиационному воздействию вследствие ядерных испытаний на Семипалатинском полигоне», Постановлением Правительства Российской Федерации </w:t>
      </w:r>
      <w:hyperlink r:id="rId9" w:tgtFrame="_self" w:history="1">
        <w:r w:rsidRPr="004B545F">
          <w:rPr>
            <w:rStyle w:val="a5"/>
            <w:rFonts w:ascii="Arial" w:hAnsi="Arial"/>
          </w:rPr>
          <w:t>от 30.12.2004 № 882</w:t>
        </w:r>
      </w:hyperlink>
      <w:r w:rsidRPr="004B545F">
        <w:rPr>
          <w:rFonts w:ascii="Arial" w:hAnsi="Arial"/>
          <w:szCs w:val="28"/>
        </w:rPr>
        <w:t xml:space="preserve"> «О мерах социальной поддержки граждан, подвергшихся радиационному воздействию вследствие ядерных испытаний на Семипалатинском полигоне». 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 xml:space="preserve">Признание утратившим силу вышеуказанного приказа департамента социальной защиты населения, опеки и попечительства Костромской области </w:t>
      </w:r>
      <w:r w:rsidRPr="004B545F">
        <w:rPr>
          <w:rFonts w:ascii="Arial" w:hAnsi="Arial"/>
          <w:bCs/>
          <w:szCs w:val="28"/>
        </w:rPr>
        <w:t>не приведёт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Приказ является необходимым для урегулирования правоотношений в данной сфере.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Порядок принятия и опубликования приказа соблюден.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Форма и текст приказа соответствуют правилам юридической техники.</w:t>
      </w:r>
    </w:p>
    <w:p w:rsidR="004B545F" w:rsidRPr="004B545F" w:rsidRDefault="004B545F" w:rsidP="004B545F">
      <w:pPr>
        <w:ind w:firstLine="709"/>
        <w:jc w:val="both"/>
        <w:rPr>
          <w:rFonts w:ascii="Arial" w:hAnsi="Arial" w:cs="Arial"/>
          <w:szCs w:val="28"/>
        </w:rPr>
      </w:pPr>
      <w:r w:rsidRPr="004B545F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0" w:tgtFrame="Logical" w:history="1">
        <w:r w:rsidRPr="004B545F">
          <w:rPr>
            <w:rStyle w:val="a5"/>
            <w:rFonts w:ascii="Arial" w:hAnsi="Arial" w:cs="Arial"/>
          </w:rPr>
          <w:t>от 17.07.2009 № 172-ФЗ</w:t>
        </w:r>
      </w:hyperlink>
      <w:r w:rsidRPr="004B545F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1" w:tgtFrame="Logical" w:history="1">
        <w:r w:rsidRPr="004B545F">
          <w:rPr>
            <w:rStyle w:val="a5"/>
            <w:rFonts w:ascii="Arial" w:hAnsi="Arial" w:cs="Arial"/>
          </w:rPr>
          <w:t>от 25.12.2008 № 273-ФЗ</w:t>
        </w:r>
      </w:hyperlink>
      <w:r w:rsidRPr="004B545F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2" w:tgtFrame="Logical" w:history="1">
        <w:r w:rsidRPr="004B545F">
          <w:rPr>
            <w:rStyle w:val="a5"/>
            <w:rFonts w:ascii="Arial" w:hAnsi="Arial" w:cs="Arial"/>
          </w:rPr>
          <w:t>от 26.02.2010 № 96</w:t>
        </w:r>
      </w:hyperlink>
      <w:r w:rsidRPr="004B545F">
        <w:rPr>
          <w:rFonts w:ascii="Arial" w:hAnsi="Arial" w:cs="Arial"/>
          <w:szCs w:val="28"/>
        </w:rPr>
        <w:t>, выявлены коррупциогенные факторы.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eastAsiaTheme="minorHAnsi" w:hAnsi="Arial"/>
          <w:szCs w:val="28"/>
          <w:lang w:eastAsia="en-US"/>
        </w:rPr>
        <w:lastRenderedPageBreak/>
        <w:t>1. Абзацем вторым  пункта 18 Административного регламента определено, что в</w:t>
      </w:r>
      <w:r w:rsidRPr="004B545F">
        <w:rPr>
          <w:rFonts w:ascii="Arial" w:hAnsi="Arial"/>
          <w:szCs w:val="28"/>
        </w:rPr>
        <w:t xml:space="preserve"> случае необходимости (по усмотрению руководства уполномоченного органа) гражданам должна быть предоставлена возможность предварительной записи. 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Использование в тексте Административного регламента словосочетания «(по усмотрению руководства уполномоченного органа)» приводит к возможности необоснованного установления исключений из общего порядка для граждан и организаций по усмотрению органов государственной власти</w:t>
      </w:r>
      <w:r w:rsidRPr="004B545F">
        <w:rPr>
          <w:rFonts w:ascii="Arial" w:eastAsia="Calibri" w:hAnsi="Arial"/>
          <w:szCs w:val="28"/>
        </w:rPr>
        <w:t xml:space="preserve"> или органов местного самоуправления (их должностных лиц)</w:t>
      </w:r>
      <w:r w:rsidRPr="004B545F">
        <w:rPr>
          <w:rFonts w:ascii="Arial" w:hAnsi="Arial"/>
          <w:szCs w:val="28"/>
        </w:rPr>
        <w:t>, что является коррупциогенным фактором в силу положений подпункта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целях устранения выявленного коррупциогенного фактора необходимо исключить в пункте 18 Административного регламента слова «(по усмотрению руководства уполномоченного органа)».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 xml:space="preserve">2. Наличие в пункте 18 Административного регламента словосочетания «в случае необходимости» выступает в качестве коррупциогенного фактора, состоящего в </w:t>
      </w:r>
      <w:r w:rsidRPr="004B545F">
        <w:rPr>
          <w:rFonts w:ascii="Arial" w:eastAsia="Calibri" w:hAnsi="Arial"/>
          <w:szCs w:val="28"/>
        </w:rPr>
        <w:t xml:space="preserve">употребление неустоявшихся, двусмысленных терминов и категорий оценочного характера в соответствии с </w:t>
      </w:r>
      <w:r w:rsidRPr="004B545F">
        <w:rPr>
          <w:rFonts w:ascii="Arial" w:hAnsi="Arial"/>
          <w:szCs w:val="28"/>
        </w:rPr>
        <w:t>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силу пунктов 1, 2 статьи 5 Федерального закона от 27.07.2010 № 210-ФЗ «Об организации предоставления государственных и муниципальных услуг»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Согласно пункту 1 части 1 статьи 6 Федерального закона 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целях соблюдения прав заявителей, соблюдения предусмотренного пунктом 4 статьи 4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может быть предоставлена возможность предварительной записи.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lastRenderedPageBreak/>
        <w:t>Таким образом, пункт 18 Административного регламента, в части употребления слов «в случае необходимости (по усмотрению руководства уполномоченного органа) не соответствует пункту 4 статьи 4,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Административный регламент недостаточно регулирует правоотношения в установленной сфере.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1. Главой 5 Административного регламента предусмотрены права заявителя при рассмотрении жалобы: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- представление документов (при наличии), подтверждающие доводы заявителя, либо их копий;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- получение в письменной форме и по желанию заявителя в электронной форме мотивированного ответа о результатах рассмотрения жалобы.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Вместе с тем, положения Административного регламента не закрепляют следующие права заявителя: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- получение информации и документов, необходимых для обоснования жалобы;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 xml:space="preserve"> 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- обращение с заявлением о прекращении рассмотрения жалобы.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bCs/>
          <w:szCs w:val="28"/>
        </w:rPr>
        <w:t xml:space="preserve">Подпунктом 3 пункта 23 </w:t>
      </w:r>
      <w:r w:rsidRPr="004B545F">
        <w:rPr>
          <w:rFonts w:ascii="Arial" w:hAnsi="Arial"/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Таким образом, главу 5 Административного регламента необходимо дополнить положениями о соответствующих правах заявителей.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2. В соответствии с пунктом 22 Административного регламента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Приведенная правовая норма соответствует положениям Федерального закона от 27.07.2010 № 210-ФЗ «Об организации предоставления государственных и муниципальных услуг» и действует с учетом официального письма администрации Костромской области от 04.03.2014 № 402-2-ПУ.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lastRenderedPageBreak/>
        <w:t>Пунктом 30 Административного регламента регламентирована административная процедура предоставления государственной услуги в электронном виде.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Вместе с тем положения Административного регламента не отражают срок ее выполнения, что приводит к правовой неопределенности и нарушению принципа достаточности правового регулирования.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 этой связи рекомендуем предусмотреть срок выполнения административной процедуры в электронном виде.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Текст Административного регламента содержит юридико-технические нарушения.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4B545F">
        <w:rPr>
          <w:rFonts w:ascii="Arial" w:hAnsi="Arial"/>
          <w:bCs/>
          <w:szCs w:val="28"/>
        </w:rPr>
        <w:t xml:space="preserve">1. В тексте Административного регламента указан приказ Федеральной миграционной службы Российской Федерации от 07.12.2009 № 339 «Об утверждении административного регламента </w:t>
      </w:r>
      <w:r w:rsidRPr="004B545F">
        <w:rPr>
          <w:rFonts w:ascii="Arial" w:eastAsiaTheme="minorHAnsi" w:hAnsi="Arial"/>
          <w:szCs w:val="28"/>
          <w:lang w:eastAsia="en-US"/>
        </w:rPr>
        <w:t xml:space="preserve">Федеральной миграционной службы по предоставлению государственной услуги по выдаче, замене и по исполнению государственной функции по учету паспортов гражданина Российской Федерации, удостоверяющих личность гражданина Российской Федерации на территории Российской Федерации», утративший силу согласно пункту 2 приказа </w:t>
      </w:r>
      <w:r w:rsidRPr="004B545F">
        <w:rPr>
          <w:rFonts w:ascii="Arial" w:hAnsi="Arial"/>
          <w:bCs/>
          <w:szCs w:val="28"/>
        </w:rPr>
        <w:t xml:space="preserve">Федеральной миграционной службы Российской Федерации от 30.11.2012 № 391   «Об утверждении Административного регламента </w:t>
      </w:r>
      <w:r w:rsidRPr="004B545F">
        <w:rPr>
          <w:rFonts w:ascii="Arial" w:eastAsiaTheme="minorHAnsi" w:hAnsi="Arial"/>
          <w:szCs w:val="28"/>
          <w:lang w:eastAsia="en-US"/>
        </w:rPr>
        <w:t>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Федерации».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bCs/>
          <w:szCs w:val="28"/>
        </w:rPr>
        <w:t xml:space="preserve">2. </w:t>
      </w:r>
      <w:r w:rsidRPr="004B545F">
        <w:rPr>
          <w:rFonts w:ascii="Arial" w:hAnsi="Arial"/>
          <w:szCs w:val="28"/>
        </w:rPr>
        <w:t>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определено,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услуги. В случае отсутствия таких оснований следует прямо указать на это в тексте регламента.</w:t>
      </w:r>
    </w:p>
    <w:p w:rsidR="004B545F" w:rsidRPr="004B545F" w:rsidRDefault="004B545F" w:rsidP="004B545F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Вместе с тем,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t xml:space="preserve">3. </w:t>
      </w:r>
      <w:r w:rsidRPr="004B545F">
        <w:rPr>
          <w:rFonts w:ascii="Arial" w:hAnsi="Arial"/>
          <w:szCs w:val="28"/>
        </w:rPr>
        <w:t>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t xml:space="preserve">Предлагаем привести вышеуказанные положения Административного регламента, утвержденного </w:t>
      </w:r>
      <w:r w:rsidRPr="004B545F">
        <w:rPr>
          <w:rFonts w:ascii="Arial" w:hAnsi="Arial"/>
          <w:szCs w:val="28"/>
        </w:rPr>
        <w:t xml:space="preserve">приказом департамента социальной защиты населения, опеки и попечительства Костромской области от 28.06.2012 № 451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647, от 01.07.2013 № 338, от 14.05.2014 № 236) </w:t>
      </w:r>
      <w:r w:rsidRPr="004B545F">
        <w:rPr>
          <w:rFonts w:ascii="Arial" w:hAnsi="Arial"/>
          <w:bCs/>
          <w:szCs w:val="28"/>
        </w:rPr>
        <w:t>в соответствие с Конституцией Российской Федерации, федеральным законодательством, а также устранить выявленные коррупциогенные факторы,</w:t>
      </w:r>
      <w:r w:rsidRPr="004B545F">
        <w:rPr>
          <w:rFonts w:ascii="Arial" w:hAnsi="Arial"/>
          <w:szCs w:val="28"/>
        </w:rPr>
        <w:t xml:space="preserve"> недостаточность правового регулирования, юридико-технические нарушения.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bCs/>
          <w:szCs w:val="28"/>
        </w:rPr>
      </w:pPr>
      <w:r w:rsidRPr="004B545F">
        <w:rPr>
          <w:rFonts w:ascii="Arial" w:hAnsi="Arial"/>
          <w:bCs/>
          <w:szCs w:val="28"/>
        </w:rPr>
        <w:lastRenderedPageBreak/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8"/>
        </w:rPr>
      </w:pPr>
      <w:r w:rsidRPr="004B545F">
        <w:rPr>
          <w:rFonts w:ascii="Arial" w:hAnsi="Arial"/>
          <w:szCs w:val="28"/>
        </w:rPr>
        <w:t>И.о. начальника                                                           Д.А. Смирнов</w:t>
      </w:r>
    </w:p>
    <w:p w:rsidR="004B545F" w:rsidRPr="004B545F" w:rsidRDefault="004B545F" w:rsidP="004B545F">
      <w:pPr>
        <w:ind w:firstLine="709"/>
        <w:jc w:val="both"/>
        <w:rPr>
          <w:rFonts w:ascii="Arial" w:hAnsi="Arial"/>
          <w:szCs w:val="20"/>
        </w:rPr>
      </w:pPr>
    </w:p>
    <w:p w:rsidR="004B545F" w:rsidRPr="004B545F" w:rsidRDefault="004B545F" w:rsidP="004B545F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</w:p>
    <w:p w:rsidR="004B545F" w:rsidRPr="004B545F" w:rsidRDefault="004B545F" w:rsidP="004B545F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4B545F">
        <w:rPr>
          <w:rFonts w:ascii="Arial" w:hAnsi="Arial"/>
          <w:szCs w:val="20"/>
        </w:rPr>
        <w:t>И.П. Борисова</w:t>
      </w:r>
    </w:p>
    <w:p w:rsidR="004B545F" w:rsidRPr="004B545F" w:rsidRDefault="004B545F" w:rsidP="004B545F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4B545F">
        <w:rPr>
          <w:rFonts w:ascii="Arial" w:hAnsi="Arial"/>
          <w:szCs w:val="20"/>
        </w:rPr>
        <w:t>47-03-15</w:t>
      </w:r>
    </w:p>
    <w:sectPr w:rsidR="004B545F" w:rsidRPr="004B545F" w:rsidSect="006534A7">
      <w:headerReference w:type="even" r:id="rId13"/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F824F8" w:rsidP="00274769">
    <w:pPr>
      <w:pStyle w:val="a6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5840" w:rsidRDefault="00F824F8" w:rsidP="0027476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F824F8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BA5840" w:rsidRDefault="00F824F8" w:rsidP="0027476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4B545F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824F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B545F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B545F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B545F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B545F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B545F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4B545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B545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4B545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B545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4B545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4B545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B545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B545F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4B545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B545F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4B545F"/>
    <w:rPr>
      <w:color w:val="0000FF"/>
      <w:u w:val="none"/>
    </w:rPr>
  </w:style>
  <w:style w:type="paragraph" w:customStyle="1" w:styleId="Application">
    <w:name w:val="Application!Приложение"/>
    <w:rsid w:val="004B545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B545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B545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B545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4B54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B545F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4B545F"/>
  </w:style>
  <w:style w:type="paragraph" w:customStyle="1" w:styleId="11">
    <w:name w:val="Название объекта1"/>
    <w:basedOn w:val="a"/>
    <w:rsid w:val="004B545F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  <w:style w:type="paragraph" w:styleId="a9">
    <w:name w:val="Body Text"/>
    <w:basedOn w:val="a"/>
    <w:link w:val="12"/>
    <w:uiPriority w:val="99"/>
    <w:unhideWhenUsed/>
    <w:rsid w:val="004B545F"/>
    <w:pPr>
      <w:widowControl w:val="0"/>
      <w:shd w:val="clear" w:color="auto" w:fill="FFFFFF"/>
      <w:spacing w:line="240" w:lineRule="atLeast"/>
      <w:ind w:firstLine="567"/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4B545F"/>
    <w:rPr>
      <w:rFonts w:ascii="Times New Roman" w:eastAsia="Times New Roman" w:hAnsi="Times New Roman"/>
      <w:sz w:val="24"/>
      <w:szCs w:val="24"/>
    </w:rPr>
  </w:style>
  <w:style w:type="character" w:customStyle="1" w:styleId="12">
    <w:name w:val="Основной текст Знак1"/>
    <w:basedOn w:val="a0"/>
    <w:link w:val="a9"/>
    <w:uiPriority w:val="99"/>
    <w:locked/>
    <w:rsid w:val="004B545F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ConsPlusTitle">
    <w:name w:val="ConsPlusTitle"/>
    <w:uiPriority w:val="99"/>
    <w:rsid w:val="004B545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Preformat">
    <w:name w:val="Preformat"/>
    <w:rsid w:val="004B545F"/>
    <w:pPr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e63a43a6-374e-468d-8091-51c645b84ea4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content\act\bba0bfb1-06c7-4e50-a8d3-fe1045784bf1.html" TargetMode="External"/><Relationship Id="rId12" Type="http://schemas.openxmlformats.org/officeDocument/2006/relationships/hyperlink" Target="file:///C:\content\act\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D:\&#1044;&#1086;&#1083;&#1075;&#1086;&#1073;&#1086;&#1088;&#1086;&#1076;&#1086;&#1074;&#1072;%20&#1045;&#1042;\&#1101;&#1082;&#1089;&#1087;&#1077;&#1088;&#1090;&#1080;&#1079;&#1072;\&#1101;&#1082;&#1089;&#1087;&#1077;&#1088;&#1090;&#1080;&#1079;&#1072;%20-%20&#1048;&#1088;&#1072;\2013\&#1055;&#1088;&#1072;&#1074;&#1086;&#1074;&#1072;&#1103;%20&#1101;&#1082;&#1089;&#1087;&#1077;&#1088;&#1090;&#1080;&#1079;&#1072;\pravo.gov.ru" TargetMode="External"/><Relationship Id="rId11" Type="http://schemas.openxmlformats.org/officeDocument/2006/relationships/hyperlink" Target="file:///C:\content\act\9aa48369-618a-4bb4-b4b8-ae15f2b7ebf6.html" TargetMode="External"/><Relationship Id="rId5" Type="http://schemas.openxmlformats.org/officeDocument/2006/relationships/hyperlink" Target="file:///E:\content\act\15d4560c-d530-4955-bf7e-f734337ae80b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2725cfec-e2d4-4dab-9bc9-eeb450312fae.htm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127A3-F2E5-44B3-957D-CD5ADA74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3188</Words>
  <Characters>18175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2014-06-24T07:09:00Z</dcterms:created>
  <dcterms:modified xsi:type="dcterms:W3CDTF">2014-06-24T07:09:00Z</dcterms:modified>
</cp:coreProperties>
</file>