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4B" w:rsidRPr="00C61E79" w:rsidRDefault="0001764B" w:rsidP="00C61E79">
      <w:pPr>
        <w:spacing w:line="360" w:lineRule="exact"/>
        <w:jc w:val="center"/>
        <w:rPr>
          <w:rFonts w:cs="Arial"/>
          <w:b/>
          <w:bCs/>
          <w:kern w:val="28"/>
          <w:sz w:val="32"/>
          <w:szCs w:val="32"/>
        </w:rPr>
      </w:pPr>
      <w:r w:rsidRPr="00C61E79">
        <w:rPr>
          <w:rFonts w:cs="Arial"/>
          <w:b/>
          <w:bCs/>
          <w:kern w:val="28"/>
          <w:sz w:val="32"/>
          <w:szCs w:val="32"/>
        </w:rPr>
        <w:t>ЭКСПЕРТНОЕ ЗАКЛЮЧЕНИЕ № 03-523-ЭЗ  от 10.06.2016</w:t>
      </w:r>
    </w:p>
    <w:p w:rsidR="0001764B" w:rsidRPr="00C61E79" w:rsidRDefault="0001764B" w:rsidP="00C61E79">
      <w:pPr>
        <w:spacing w:line="360" w:lineRule="exact"/>
        <w:ind w:firstLine="0"/>
        <w:jc w:val="center"/>
        <w:rPr>
          <w:rFonts w:cs="Arial"/>
          <w:b/>
          <w:kern w:val="28"/>
          <w:sz w:val="32"/>
          <w:szCs w:val="32"/>
        </w:rPr>
      </w:pPr>
      <w:r w:rsidRPr="00C61E79">
        <w:rPr>
          <w:rFonts w:cs="Arial"/>
          <w:b/>
          <w:kern w:val="28"/>
          <w:sz w:val="32"/>
          <w:szCs w:val="32"/>
        </w:rPr>
        <w:t>по результатам проведения правовой и антикоррупционной экспертиз</w:t>
      </w:r>
      <w:r w:rsidR="00C61E79">
        <w:rPr>
          <w:rFonts w:cs="Arial"/>
          <w:b/>
          <w:kern w:val="28"/>
          <w:sz w:val="32"/>
          <w:szCs w:val="32"/>
        </w:rPr>
        <w:t xml:space="preserve"> </w:t>
      </w:r>
      <w:r w:rsidRPr="00C61E79">
        <w:rPr>
          <w:rFonts w:cs="Arial"/>
          <w:b/>
          <w:kern w:val="28"/>
          <w:sz w:val="32"/>
          <w:szCs w:val="32"/>
        </w:rPr>
        <w:t xml:space="preserve">на закон города Севастополя от 15.05.2015 № 137-ЗС </w:t>
      </w:r>
    </w:p>
    <w:p w:rsidR="0001764B" w:rsidRPr="00C61E79" w:rsidRDefault="0001764B" w:rsidP="00C61E79">
      <w:pPr>
        <w:spacing w:line="360" w:lineRule="exact"/>
        <w:ind w:firstLine="0"/>
        <w:jc w:val="center"/>
        <w:rPr>
          <w:rFonts w:cs="Arial"/>
          <w:b/>
          <w:kern w:val="28"/>
          <w:sz w:val="32"/>
          <w:szCs w:val="32"/>
        </w:rPr>
      </w:pPr>
      <w:r w:rsidRPr="00C61E79">
        <w:rPr>
          <w:rFonts w:cs="Arial"/>
          <w:b/>
          <w:kern w:val="28"/>
          <w:sz w:val="32"/>
          <w:szCs w:val="32"/>
        </w:rPr>
        <w:t>«О жилищной политике города Севастополя»</w:t>
      </w:r>
    </w:p>
    <w:p w:rsidR="0001764B" w:rsidRPr="00C61E79" w:rsidRDefault="0001764B" w:rsidP="00C61E79">
      <w:pPr>
        <w:spacing w:line="360" w:lineRule="exact"/>
        <w:ind w:firstLine="0"/>
        <w:jc w:val="center"/>
        <w:rPr>
          <w:rFonts w:cs="Arial"/>
          <w:b/>
          <w:kern w:val="28"/>
          <w:sz w:val="32"/>
          <w:szCs w:val="32"/>
        </w:rPr>
      </w:pPr>
      <w:r w:rsidRPr="00C61E79">
        <w:rPr>
          <w:rFonts w:cs="Arial"/>
          <w:b/>
          <w:kern w:val="28"/>
          <w:sz w:val="32"/>
          <w:szCs w:val="32"/>
        </w:rPr>
        <w:t>(с изменениями, внесенными законом города Севастополя от 04.05.2016  № 241-ЗС)</w:t>
      </w:r>
    </w:p>
    <w:p w:rsidR="0001764B" w:rsidRPr="0001764B" w:rsidRDefault="0001764B" w:rsidP="0001764B">
      <w:pPr>
        <w:spacing w:line="360" w:lineRule="exact"/>
        <w:rPr>
          <w:rFonts w:ascii="Times New Roman" w:hAnsi="Times New Roman"/>
          <w:sz w:val="28"/>
          <w:szCs w:val="28"/>
        </w:rPr>
      </w:pPr>
    </w:p>
    <w:p w:rsidR="0001764B" w:rsidRPr="00C61E79" w:rsidRDefault="0001764B" w:rsidP="00C61E79">
      <w:pPr>
        <w:spacing w:line="360" w:lineRule="exact"/>
        <w:ind w:firstLine="709"/>
      </w:pPr>
      <w:r w:rsidRPr="00C61E79">
        <w:t xml:space="preserve">Главное управление Министерства юстиции Российской Федерации по Республике Крым и Севастополю (далее - Главное управление) на основании Положения о Министерстве юстиции Российской Федерации, утвержденного </w:t>
      </w:r>
      <w:hyperlink r:id="rId6" w:tgtFrame="Logical" w:history="1">
        <w:r w:rsidRPr="004038C3">
          <w:rPr>
            <w:rStyle w:val="a7"/>
          </w:rPr>
          <w:t>указом Президента Российской Федерации от 13.10.2004 № 1313 «Вопросы Министерства юстиции Российской Федерации»</w:t>
        </w:r>
      </w:hyperlink>
      <w:r w:rsidRPr="00C61E79">
        <w:t>,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                           от 03.03.2014 № 25, провело правовую экспертизу на закон города Севастополя                 от 15.05.2015 № 137-ЗС «О жилищной политике города Севастополя» (с изменениями, внесенными законом города Севастополя от 04.05.2016 № 241-ЗС) (далее – Закон).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Поводом для проведения правовой экспертизы послужило внесение изменений в Закон законом города Севастополя от 04.05.2016 № 241-ЗС                          «О внесении изменений в отдельные законы города Севастополя по вопросам социальной защиты инвалидов в связи  с ратификацией конвенции о правах инвалидов».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Закон принят в целях урегулирования жилищных отношений в городе Севастополе.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t>Предметом правового регулирования настоящего нормативного правового акта являются общественные отношения в жилищной сфере.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>Правовой основой регулирования данной сферы отношений являются:</w:t>
      </w:r>
    </w:p>
    <w:p w:rsidR="0001764B" w:rsidRPr="00C61E79" w:rsidRDefault="004038C3" w:rsidP="00C61E79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color w:val="000000"/>
          <w:lang w:val="uk-UA"/>
        </w:rPr>
      </w:pPr>
      <w:hyperlink r:id="rId7" w:tgtFrame="Logical" w:history="1">
        <w:r w:rsidR="0001764B" w:rsidRPr="004038C3">
          <w:rPr>
            <w:rStyle w:val="a7"/>
          </w:rPr>
          <w:t>Конституция Российской Федерации</w:t>
        </w:r>
      </w:hyperlink>
      <w:r w:rsidR="0001764B" w:rsidRPr="00C61E79">
        <w:t>.</w:t>
      </w:r>
    </w:p>
    <w:p w:rsidR="0001764B" w:rsidRPr="00C61E79" w:rsidRDefault="004038C3" w:rsidP="00C61E79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color w:val="000000"/>
          <w:lang w:val="uk-UA"/>
        </w:rPr>
      </w:pPr>
      <w:hyperlink r:id="rId8" w:tgtFrame="Logical" w:history="1">
        <w:r w:rsidR="0001764B" w:rsidRPr="004038C3">
          <w:rPr>
            <w:rStyle w:val="a7"/>
          </w:rPr>
          <w:t>Жилищный кодекс Российской Федерации</w:t>
        </w:r>
      </w:hyperlink>
      <w:r w:rsidR="0001764B" w:rsidRPr="00C61E79">
        <w:t>.</w:t>
      </w:r>
    </w:p>
    <w:p w:rsidR="0001764B" w:rsidRPr="00C61E79" w:rsidRDefault="004038C3" w:rsidP="00C61E79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color w:val="000000"/>
          <w:lang w:val="uk-UA"/>
        </w:rPr>
      </w:pPr>
      <w:hyperlink r:id="rId9" w:tgtFrame="Logical" w:history="1">
        <w:r w:rsidR="0001764B" w:rsidRPr="004038C3">
          <w:rPr>
            <w:rStyle w:val="a7"/>
          </w:rPr>
          <w:t>Земельный кодекс Российской Федерации</w:t>
        </w:r>
      </w:hyperlink>
      <w:r w:rsidR="0001764B" w:rsidRPr="00C61E79">
        <w:t>.</w:t>
      </w:r>
    </w:p>
    <w:p w:rsidR="0001764B" w:rsidRPr="00C61E79" w:rsidRDefault="004038C3" w:rsidP="00C61E79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</w:pPr>
      <w:hyperlink r:id="rId10" w:tgtFrame="Logical" w:history="1">
        <w:r w:rsidR="0001764B" w:rsidRPr="004038C3">
          <w:rPr>
            <w:rStyle w:val="a7"/>
          </w:rPr>
          <w:t>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</w:t>
        </w:r>
      </w:hyperlink>
      <w:r w:rsidR="0001764B" w:rsidRPr="00C61E79">
        <w:t xml:space="preserve"> (далее – Федеральный закон № 184-ФЗ).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 xml:space="preserve">В соответствии с пунктом «к» части 1 статьи 72 </w:t>
      </w:r>
      <w:hyperlink r:id="rId11" w:tgtFrame="Logical" w:history="1">
        <w:r w:rsidRPr="004038C3">
          <w:rPr>
            <w:rStyle w:val="a7"/>
          </w:rPr>
          <w:t>Конституции Российской Федерации</w:t>
        </w:r>
      </w:hyperlink>
      <w:r w:rsidRPr="00C61E79">
        <w:rPr>
          <w:color w:val="000000"/>
        </w:rPr>
        <w:t xml:space="preserve"> жилищное законодательство находится в совместном ведении Российской Федерации и субъектов Российской Федерации.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 xml:space="preserve">Согласно части 2 статьи 76 </w:t>
      </w:r>
      <w:hyperlink r:id="rId12" w:tgtFrame="Logical" w:history="1">
        <w:r w:rsidRPr="004038C3">
          <w:rPr>
            <w:rStyle w:val="a7"/>
          </w:rPr>
          <w:t>Конституции Российской Федерации</w:t>
        </w:r>
      </w:hyperlink>
      <w:r w:rsidRPr="00C61E79">
        <w:rPr>
          <w:color w:val="000000"/>
        </w:rPr>
        <w:t xml:space="preserve"> по предметам совместного ведения Российской Федерации и субъектов Российской Федерации </w:t>
      </w:r>
      <w:r w:rsidRPr="00C61E79">
        <w:rPr>
          <w:color w:val="000000"/>
        </w:rPr>
        <w:lastRenderedPageBreak/>
        <w:t>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 xml:space="preserve">В силу статьи 40 </w:t>
      </w:r>
      <w:hyperlink r:id="rId13" w:tgtFrame="Logical" w:history="1">
        <w:r w:rsidRPr="004038C3">
          <w:rPr>
            <w:rStyle w:val="a7"/>
          </w:rPr>
          <w:t>Конституции Российской Федерации</w:t>
        </w:r>
      </w:hyperlink>
      <w:r w:rsidRPr="00C61E79">
        <w:rPr>
          <w:color w:val="000000"/>
        </w:rPr>
        <w:t xml:space="preserve"> каждый имеет право на жилище. Малоимущим, иным указанным в законе гражданам, нуждающимся в жилище, оно предоставляется бесплатно или за доступную плату из государственных, муниципальных и других жилищных фондов в соответствии с установленными законом нормами.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rPr>
          <w:color w:val="000000"/>
        </w:rPr>
        <w:t xml:space="preserve">Согласно части 2 статьи 5 </w:t>
      </w:r>
      <w:hyperlink r:id="rId14" w:tgtFrame="Logical" w:history="1">
        <w:r w:rsidRPr="004038C3">
          <w:rPr>
            <w:rStyle w:val="a7"/>
          </w:rPr>
          <w:t>Жилищного кодекса Российской Федерации</w:t>
        </w:r>
      </w:hyperlink>
      <w:r w:rsidRPr="00C61E79">
        <w:rPr>
          <w:color w:val="000000"/>
        </w:rPr>
        <w:t xml:space="preserve"> </w:t>
      </w:r>
      <w:r w:rsidRPr="00C61E79">
        <w:t>жилищное законодательство состоит из настоящего Кодекса, принятых в соответствии с настоящим Кодексом других федеральных законов, а также изданных в соответствии с ними указов Президента Российской Федерации, постановлений Правительства Российской Федерации, нормативных правовых актов федеральных органов исполнительной власти, принятых законов и иных нормативных правовых актов субъектов Российской Федерации, нормативных правовых актов органов местного самоуправления.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 xml:space="preserve">Органы государственной власти субъектов Российской Федерации могут принимать законы и иные нормативные правовые акты, содержащие нормы, регулирующие жилищные отношения, в пределах своих полномочий на основании настоящего Кодекса, принятых в соответствии с настоящим Кодексом других федеральных законов (часть 6 статьи 5 </w:t>
      </w:r>
      <w:hyperlink r:id="rId15" w:tgtFrame="Logical" w:history="1">
        <w:r w:rsidRPr="004038C3">
          <w:rPr>
            <w:rStyle w:val="a7"/>
          </w:rPr>
          <w:t>Жилищного кодекса Российской Федерации</w:t>
        </w:r>
      </w:hyperlink>
      <w:r w:rsidRPr="00C61E79">
        <w:t>).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 xml:space="preserve">В соответствии с подпунктами «б» и «в» пункта 1 статьи 5 </w:t>
      </w:r>
      <w:hyperlink r:id="rId16" w:tgtFrame="Logical" w:history="1">
        <w:r w:rsidRPr="004038C3">
          <w:rPr>
            <w:rStyle w:val="a7"/>
          </w:rPr>
          <w:t>Федерального закона № 184-ФЗ</w:t>
        </w:r>
      </w:hyperlink>
      <w:r w:rsidRPr="00C61E79">
        <w:rPr>
          <w:color w:val="000000"/>
        </w:rPr>
        <w:t xml:space="preserve"> законодательный (представительный)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Федерации, а также осуществляет иные полномочия, установленные Конституцией Российской Федерации, настоящим Федеральным законом, другими федеральными законами, конституцией (уставом) и законами субъекта Российской Федерации.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Согласно пункту 1 статьи 13, пункту 13 части 2 статьи 20 Устава города Севастополя Законодательное Собрание города Севастополя является постоянно действующим, высшим и единственным законодательным (представительным) органом государственной власти города Севастополя, которому предоставлено право законом регулировать вопросы, относящиеся в соответствии с Конституцией Российской Федерации, федеральными законами к ведению и полномочиям города Севастополя.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Таким образом, Закон является необходимым и достаточным законодательным актом, принятым Законодательным Собранием города Севастополя в соответствии с его компетенцией.</w:t>
      </w:r>
    </w:p>
    <w:p w:rsidR="0001764B" w:rsidRPr="00C61E79" w:rsidRDefault="0001764B" w:rsidP="00C61E79">
      <w:pPr>
        <w:spacing w:line="360" w:lineRule="exact"/>
        <w:ind w:firstLine="709"/>
        <w:rPr>
          <w:color w:val="000000"/>
        </w:rPr>
      </w:pPr>
      <w:r w:rsidRPr="00C61E79">
        <w:rPr>
          <w:color w:val="000000"/>
        </w:rPr>
        <w:t>Замечания, указанные в экспертном заключении № 03-230-ЭЗ от 24.06.2015 не устранены, а именно:</w:t>
      </w:r>
    </w:p>
    <w:p w:rsidR="0001764B" w:rsidRPr="00C61E79" w:rsidRDefault="0001764B" w:rsidP="00C61E79">
      <w:pPr>
        <w:numPr>
          <w:ilvl w:val="0"/>
          <w:numId w:val="2"/>
        </w:numPr>
        <w:spacing w:after="200" w:line="360" w:lineRule="exact"/>
        <w:ind w:left="0" w:firstLine="709"/>
      </w:pPr>
      <w:r w:rsidRPr="00C61E79">
        <w:lastRenderedPageBreak/>
        <w:t>Частью 1 статьи 15 Закона установлены случаи, при наступлении которых Правительство Севастополя принимает решение об изъятии земельного участка и жилых помещений для государственных нужд города Севастополя.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 xml:space="preserve">Однако статьей 49 Земельного кодекса Российской Федерации предусмотрено, что изъятие земельных участков для государственных или муниципальных нужд </w:t>
      </w:r>
      <w:r w:rsidRPr="00C61E79">
        <w:rPr>
          <w:i/>
        </w:rPr>
        <w:t>осуществляется в исключительных случаях</w:t>
      </w:r>
      <w:r w:rsidRPr="00C61E79">
        <w:t xml:space="preserve"> по основаниям, связанным с: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0" w:name="sub_49011"/>
      <w:r w:rsidRPr="00C61E79">
        <w:t>1) выполнением международных договоров Российской Федерации;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1" w:name="sub_49012"/>
      <w:bookmarkEnd w:id="0"/>
      <w:r w:rsidRPr="00C61E79">
        <w:t>2) строительством, реконструкцией следующих объектов государственного значения (объектов федерального значения, объектов регионального значения) или объектов местного значения при отсутствии других возможных вариантов строительства, реконструкции этих объектов:</w:t>
      </w:r>
    </w:p>
    <w:bookmarkEnd w:id="1"/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объекты федеральных энергетических систем и объекты энергетических систем регионального значения;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объекты использования атомной энергии;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объекты обороны страны и безопасности государства, в том числе инженерно-технические сооружения, линии связи и коммуникации, возведенные в интересах защиты и охраны Государственной границы Российской Федерации;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2" w:name="sub_49125"/>
      <w:r w:rsidRPr="00C61E79">
        <w:t>объекты федерального транспорта, объекты связи федерального значения, а также объекты транспорта, объекты связи регионального значения, объекты инфраструктуры железнодорожного транспорта общего пользования;</w:t>
      </w:r>
    </w:p>
    <w:bookmarkEnd w:id="2"/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объекты, обеспечивающие космическую деятельность;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линейные объекты федерального и регионального значения, обеспечивающие деятельность субъектов естественных монополий;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3" w:name="sub_4901212"/>
      <w:r w:rsidRPr="00C61E79">
        <w:t>объекты систем электро-, газоснабжения, объекты систем теплоснабжения, объекты централизованных систем горячего водоснабжения, холодного водоснабжения и (или) водоотведения федерального, регионального или местного значения;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4" w:name="sub_4901210"/>
      <w:bookmarkEnd w:id="3"/>
      <w:r w:rsidRPr="00C61E79">
        <w:t>автомобильные дороги федерального, регионального или межмуниципального, местного значения;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bookmarkStart w:id="5" w:name="sub_49013"/>
      <w:bookmarkEnd w:id="4"/>
      <w:r w:rsidRPr="00C61E79">
        <w:t>3) иными основаниями, предусмотренными федеральными законами.</w:t>
      </w:r>
    </w:p>
    <w:p w:rsidR="0001764B" w:rsidRPr="00C61E79" w:rsidRDefault="0001764B" w:rsidP="00C61E79">
      <w:pPr>
        <w:autoSpaceDE w:val="0"/>
        <w:autoSpaceDN w:val="0"/>
        <w:adjustRightInd w:val="0"/>
        <w:spacing w:line="360" w:lineRule="exact"/>
        <w:ind w:firstLine="709"/>
      </w:pPr>
      <w:r w:rsidRPr="00C61E79">
        <w:t>Ни Земельным кодексом Российской Федерации, ни иными федеральными законами полномочия по установлению оснований изъятия земельных участков органам государственной власти субъектов не передавались.</w:t>
      </w:r>
    </w:p>
    <w:bookmarkEnd w:id="5"/>
    <w:p w:rsidR="0001764B" w:rsidRPr="00C61E79" w:rsidRDefault="0001764B" w:rsidP="00C61E79">
      <w:pPr>
        <w:spacing w:line="360" w:lineRule="exact"/>
        <w:ind w:firstLine="709"/>
      </w:pPr>
      <w:r w:rsidRPr="00C61E79">
        <w:t>Учитывая вышеизложенное, необходимо сделать вывод о несоответствии части 1 статьи 15 Закона положениям статьи 49 Земельного кодекса Российской Федерации в части установления правовых основ принятия решения об изъятии земельного участка и жилых помещений для государственных нужд города Севастополя.</w:t>
      </w:r>
    </w:p>
    <w:p w:rsidR="0001764B" w:rsidRPr="00C61E79" w:rsidRDefault="0001764B" w:rsidP="00C61E79">
      <w:pPr>
        <w:numPr>
          <w:ilvl w:val="0"/>
          <w:numId w:val="2"/>
        </w:numPr>
        <w:spacing w:after="200" w:line="360" w:lineRule="exact"/>
        <w:ind w:left="0" w:firstLine="709"/>
      </w:pPr>
      <w:r w:rsidRPr="00C61E79">
        <w:t xml:space="preserve">Часть 5 статьи 19 Закона содержит следующую норму права: </w:t>
      </w:r>
      <w:r w:rsidRPr="00C61E79">
        <w:rPr>
          <w:spacing w:val="2"/>
        </w:rPr>
        <w:t xml:space="preserve">соотношение количества жилых помещений, предоставляемых гражданам, имеющим в соответствии с федеральным законодательством и законодательством города Севастополя право на </w:t>
      </w:r>
      <w:r w:rsidRPr="00C61E79">
        <w:rPr>
          <w:spacing w:val="2"/>
        </w:rPr>
        <w:lastRenderedPageBreak/>
        <w:t>предоставление жилых помещений вне очереди, а также на предоставление жилых помещений на общих основаниях, ежегодно устанавливаются уполномоченным Правительством Севастополя органом государственной власти города Севастополя исходя из количества граждан данных категорий в общем количестве граждан, состоящих на учете в качестве нуждающихся в жилых помещениях.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Данная норма Закона не соответствует части 2 статьи 57 Жилищного кодекса Российской Федерации.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В соответствии с частью 1 статьи 57 Жилищного кодекса Российской Федерации жилые помещения предоставляются гражданам, состоящим на учете в качестве нуждающихся в жилых помещениях, в порядке очередности исходя из времени принятия таких граждан на учет, за исключением установленных частью 2 настоящей статьи случаев. Часть 2 указанной статьи определяет круг лиц, которым жилые помещения предоставляются по договорам социального найма вне очереди. К ним относятся: граждане, жилые помещения которых признаны в установленном порядке непригодными для проживания и ремонту или реконструкции не подлежат; граждане, страдающие тяжелыми формами хронических заболеваний, указанных в предусмотренном пунктом 4 части 1 статьи 51 данного кодекса перечне.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>Реализация предусмотренного частью 5 статьи 19 Закона соотношения может повлечь нарушение права лиц, определенных частью 2 статьи 57 Жилищного кодекса Российской Федерации, на предоставление вне очереди жилых помещений по договорам социального найма.</w:t>
      </w:r>
    </w:p>
    <w:p w:rsidR="0001764B" w:rsidRPr="00C61E79" w:rsidRDefault="0001764B" w:rsidP="00C61E79">
      <w:pPr>
        <w:numPr>
          <w:ilvl w:val="0"/>
          <w:numId w:val="2"/>
        </w:numPr>
        <w:shd w:val="clear" w:color="auto" w:fill="FFFFFF"/>
        <w:spacing w:after="200" w:line="360" w:lineRule="exact"/>
        <w:ind w:left="0" w:firstLine="709"/>
      </w:pPr>
      <w:r w:rsidRPr="00C61E79">
        <w:t>Часть 3 статьи 8 Закона, согласно которой жилые помещения включаются и исключаются из специализированного жилищного фонда города Севастополя в порядке, установленном Правительством Севастополя на основании решения уполномоченного исполнительного органа государственной власти города Севастополя, не соотносится с частью 2 статьи 92 Жилищного кодекса Российской Федерации, предусматривающей, что порядок отнесения помещения к специализированному жилищному фонду устанавливается уполномоченным Правительством Российской Федерации федеральным органом исполнительной власти.</w:t>
      </w:r>
    </w:p>
    <w:p w:rsidR="0001764B" w:rsidRPr="00C61E79" w:rsidRDefault="0001764B" w:rsidP="00C61E79">
      <w:pPr>
        <w:numPr>
          <w:ilvl w:val="0"/>
          <w:numId w:val="2"/>
        </w:numPr>
        <w:shd w:val="clear" w:color="auto" w:fill="FFFFFF"/>
        <w:spacing w:after="200" w:line="360" w:lineRule="exact"/>
        <w:ind w:left="0" w:firstLine="709"/>
      </w:pPr>
      <w:r w:rsidRPr="00C61E79">
        <w:t>В пункте 4 части 2 статьи 9 Закона не представляется возможным однозначно определить, о каких иных жилых помещениях пригодных для включения в жилищный фонд коммерческого использования, идет речь.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>Отмечаем, что неопределенность содержания правовой нормы не может обеспечивать ее единообразного понимания, создает возможность злоупотребления исполнительной властью своими полномочиями, порождает противоречивую правоприменительную практику (постановление Конституционного суда Российской Федерации от 6 апреля 2004 года № 7-П).</w:t>
      </w:r>
    </w:p>
    <w:p w:rsidR="0001764B" w:rsidRPr="00C61E79" w:rsidRDefault="0001764B" w:rsidP="00C61E79">
      <w:pPr>
        <w:numPr>
          <w:ilvl w:val="0"/>
          <w:numId w:val="2"/>
        </w:numPr>
        <w:shd w:val="clear" w:color="auto" w:fill="FFFFFF"/>
        <w:spacing w:after="200" w:line="360" w:lineRule="exact"/>
        <w:ind w:left="0" w:firstLine="709"/>
      </w:pPr>
      <w:r w:rsidRPr="00C61E79">
        <w:lastRenderedPageBreak/>
        <w:t>При рассмотрении пункта 4 части 1 статьи 10 Закона необходимо учитывать, что законодательство Российской Федерации не содержит положений, предусматривающих деление жилых помещений по целевому назначению.</w:t>
      </w:r>
    </w:p>
    <w:p w:rsidR="0001764B" w:rsidRPr="00C61E79" w:rsidRDefault="0001764B" w:rsidP="00C61E79">
      <w:pPr>
        <w:spacing w:line="360" w:lineRule="exact"/>
        <w:ind w:firstLine="709"/>
      </w:pPr>
      <w:r w:rsidRPr="00C61E79">
        <w:t>Форма и текст Закона соответствуют требованиям юридической техники.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  <w:rPr>
          <w:highlight w:val="yellow"/>
        </w:rPr>
      </w:pPr>
      <w:r w:rsidRPr="00C61E79">
        <w:t>Текст Закона города Севастополя официально опубликован в газете «Севастопольские известия» от 20</w:t>
      </w:r>
      <w:r w:rsidRPr="00C61E79">
        <w:rPr>
          <w:lang w:val="uk-UA"/>
        </w:rPr>
        <w:t>.05.</w:t>
      </w:r>
      <w:r w:rsidRPr="00C61E79">
        <w:t>2015 № 42-43 (1787), изменения в него - на сайте Законодательного Собрания города Севастополя sevzakon.ru 04.05.2016.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 xml:space="preserve">По результатам проведенной антикоррупционной экспертизы в соответствии с частью 3 статьи 3 </w:t>
      </w:r>
      <w:hyperlink r:id="rId17" w:tgtFrame="Logical" w:history="1">
        <w:r w:rsidRPr="004038C3">
          <w:rPr>
            <w:rStyle w:val="a7"/>
          </w:rPr>
          <w:t>Федерального закона от 17.07.2009 № 172-ФЗ                                             «Об антикоррупционной экспертизе нормативных правовых актов»</w:t>
        </w:r>
      </w:hyperlink>
      <w:r w:rsidRPr="00C61E79">
        <w:t xml:space="preserve">, статьей 6 </w:t>
      </w:r>
      <w:hyperlink r:id="rId18" w:tgtFrame="Logical" w:history="1">
        <w:r w:rsidRPr="004038C3">
          <w:rPr>
            <w:rStyle w:val="a7"/>
          </w:rPr>
          <w:t>Федерального закона от 25.12.2008 № 273-ФЗ «О противодействии коррупции»</w:t>
        </w:r>
      </w:hyperlink>
      <w:bookmarkStart w:id="6" w:name="_GoBack"/>
      <w:bookmarkEnd w:id="6"/>
      <w:r w:rsidRPr="00C61E79">
        <w:t xml:space="preserve">                     и подпунктом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выявлены коррупциогенные факторы по основаниям, указанным в экспертном заключении.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>На основании подпунктов «в», «д» пункта 3, подпункта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выборочное изменение объема прав –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принятие нормативного правового акта за пределами компетенции – нарушение компетенции органов государственной власти или органов местного самоуправления (их должностных лиц) при принятии нормативных правовых актов, юридико-лингвистическая неопределенность – употребление неустоявшихся, двусмысленных терминов и категорий оценочного характера являются коррупциогенными факторами.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>Исходя из вышеизложенного, на момент проведения правовой                                     и антикоррупционной экспертиз Закон не соответствует Конституции Российской Федерации, нормам федерального законодательства и содержит коррупциогенные факторы.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 xml:space="preserve">На основании требований части 2 статьи 15, частей 2, 5 статьи 76 </w:t>
      </w:r>
      <w:hyperlink r:id="rId19" w:tgtFrame="Logical" w:history="1">
        <w:r w:rsidRPr="004038C3">
          <w:rPr>
            <w:rStyle w:val="a7"/>
          </w:rPr>
          <w:t>Конституции Российской Федерации</w:t>
        </w:r>
      </w:hyperlink>
      <w:r w:rsidRPr="00C61E79">
        <w:t>, а также в целях устранения выявленных коррупциогенных факторов предлагаем привести Закон в соответствие с Конституцией Российской Федерации и федеральным законодательством.</w:t>
      </w:r>
    </w:p>
    <w:p w:rsidR="0001764B" w:rsidRPr="00C61E79" w:rsidRDefault="0001764B" w:rsidP="00C61E79">
      <w:pPr>
        <w:shd w:val="clear" w:color="auto" w:fill="FFFFFF"/>
        <w:spacing w:line="360" w:lineRule="exact"/>
        <w:ind w:firstLine="709"/>
      </w:pPr>
      <w:r w:rsidRPr="00C61E79">
        <w:t>Просим сообщить о результатах рассмотрения данного экспертного заключения.</w:t>
      </w:r>
    </w:p>
    <w:p w:rsidR="0001764B" w:rsidRPr="00C61E79" w:rsidRDefault="0001764B" w:rsidP="00C61E79">
      <w:pPr>
        <w:spacing w:line="360" w:lineRule="exact"/>
        <w:ind w:firstLine="709"/>
      </w:pPr>
    </w:p>
    <w:p w:rsidR="0001764B" w:rsidRPr="00C61E79" w:rsidRDefault="0001764B" w:rsidP="00C61E79">
      <w:pPr>
        <w:spacing w:line="360" w:lineRule="exact"/>
        <w:ind w:firstLine="709"/>
      </w:pPr>
    </w:p>
    <w:p w:rsidR="0001764B" w:rsidRPr="00C61E79" w:rsidRDefault="0001764B" w:rsidP="00C61E79">
      <w:pPr>
        <w:spacing w:line="360" w:lineRule="exact"/>
        <w:ind w:firstLine="709"/>
      </w:pPr>
    </w:p>
    <w:p w:rsidR="0001764B" w:rsidRPr="00C61E79" w:rsidRDefault="0001764B" w:rsidP="00C61E79">
      <w:pPr>
        <w:spacing w:line="360" w:lineRule="exact"/>
        <w:ind w:firstLine="0"/>
      </w:pPr>
      <w:r w:rsidRPr="00C61E79">
        <w:lastRenderedPageBreak/>
        <w:t>Заместитель начальника</w:t>
      </w:r>
    </w:p>
    <w:p w:rsidR="0001764B" w:rsidRPr="00C61E79" w:rsidRDefault="0001764B" w:rsidP="00C61E79">
      <w:pPr>
        <w:spacing w:line="360" w:lineRule="exact"/>
        <w:ind w:firstLine="0"/>
      </w:pPr>
      <w:r w:rsidRPr="00C61E79">
        <w:t>Главного управления                                                                                 Н.Б. Черненкова</w:t>
      </w:r>
    </w:p>
    <w:p w:rsidR="0001764B" w:rsidRPr="00C61E79" w:rsidRDefault="0001764B" w:rsidP="00C61E79">
      <w:pPr>
        <w:pStyle w:val="a3"/>
        <w:rPr>
          <w:rFonts w:ascii="Arial" w:hAnsi="Arial" w:cs="Courier New"/>
          <w:sz w:val="24"/>
          <w:szCs w:val="24"/>
        </w:rPr>
      </w:pPr>
    </w:p>
    <w:sectPr w:rsidR="0001764B" w:rsidRPr="00C61E79" w:rsidSect="00C61E7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5B3E"/>
    <w:multiLevelType w:val="hybridMultilevel"/>
    <w:tmpl w:val="41FE3148"/>
    <w:lvl w:ilvl="0" w:tplc="E0A6DB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E035342"/>
    <w:multiLevelType w:val="hybridMultilevel"/>
    <w:tmpl w:val="E27AFA76"/>
    <w:lvl w:ilvl="0" w:tplc="DBA87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C9"/>
    <w:rsid w:val="0001764B"/>
    <w:rsid w:val="003F0F96"/>
    <w:rsid w:val="004038C3"/>
    <w:rsid w:val="00484D21"/>
    <w:rsid w:val="0059161F"/>
    <w:rsid w:val="00940EC9"/>
    <w:rsid w:val="00C6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038C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038C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038C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038C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038C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038C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038C3"/>
  </w:style>
  <w:style w:type="paragraph" w:styleId="a3">
    <w:name w:val="Plain Text"/>
    <w:basedOn w:val="a"/>
    <w:link w:val="a4"/>
    <w:uiPriority w:val="99"/>
    <w:unhideWhenUsed/>
    <w:rsid w:val="003F0F96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F0F9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176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1764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1764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1764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038C3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4038C3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1764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038C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4038C3"/>
    <w:rPr>
      <w:color w:val="0000FF"/>
      <w:u w:val="none"/>
    </w:rPr>
  </w:style>
  <w:style w:type="paragraph" w:customStyle="1" w:styleId="Application">
    <w:name w:val="Application!Приложение"/>
    <w:rsid w:val="004038C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038C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038C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038C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038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038C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038C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038C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038C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038C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038C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038C3"/>
  </w:style>
  <w:style w:type="paragraph" w:styleId="a3">
    <w:name w:val="Plain Text"/>
    <w:basedOn w:val="a"/>
    <w:link w:val="a4"/>
    <w:uiPriority w:val="99"/>
    <w:unhideWhenUsed/>
    <w:rsid w:val="003F0F96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F0F9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176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1764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1764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1764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038C3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4038C3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1764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038C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4038C3"/>
    <w:rPr>
      <w:color w:val="0000FF"/>
      <w:u w:val="none"/>
    </w:rPr>
  </w:style>
  <w:style w:type="paragraph" w:customStyle="1" w:styleId="Application">
    <w:name w:val="Application!Приложение"/>
    <w:rsid w:val="004038C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038C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038C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038C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038C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70ba400-14c4-4cdb-8a8b-b11f2a1a2f55.html" TargetMode="External"/><Relationship Id="rId13" Type="http://schemas.openxmlformats.org/officeDocument/2006/relationships/hyperlink" Target="file:///C:\content\act\15d4560c-d530-4955-bf7e-f734337ae80b.html" TargetMode="External"/><Relationship Id="rId18" Type="http://schemas.openxmlformats.org/officeDocument/2006/relationships/hyperlink" Target="file:///C:\content\act\9aa48369-618a-4bb4-b4b8-ae15f2b7ebf6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file:///C:\content\act\15d4560c-d530-4955-bf7e-f734337ae80b.html" TargetMode="External"/><Relationship Id="rId12" Type="http://schemas.openxmlformats.org/officeDocument/2006/relationships/hyperlink" Target="file:///C:\content\act\15d4560c-d530-4955-bf7e-f734337ae80b.html" TargetMode="External"/><Relationship Id="rId17" Type="http://schemas.openxmlformats.org/officeDocument/2006/relationships/hyperlink" Target="file:///C:\content\act\91e7be06-9a84-4cff-931d-1df8bc2444aa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5724afaa-4194-470c-8df3-8737d9c801c7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content\act\a8ca6f19-944a-442f-afbb-7b6cab4e1e09.html" TargetMode="External"/><Relationship Id="rId11" Type="http://schemas.openxmlformats.org/officeDocument/2006/relationships/hyperlink" Target="file:///C:\content\act\15d4560c-d530-4955-bf7e-f734337ae8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370ba400-14c4-4cdb-8a8b-b11f2a1a2f55.html" TargetMode="External"/><Relationship Id="rId10" Type="http://schemas.openxmlformats.org/officeDocument/2006/relationships/hyperlink" Target="file:///C:\content\act\5724afaa-4194-470c-8df3-8737d9c801c7.html" TargetMode="External"/><Relationship Id="rId19" Type="http://schemas.openxmlformats.org/officeDocument/2006/relationships/hyperlink" Target="file:///C:\content\act\15d4560c-d530-4955-bf7e-f734337ae80b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9cf2f1c3-393d-4051-a52d-9923b0e51c0c.html" TargetMode="External"/><Relationship Id="rId14" Type="http://schemas.openxmlformats.org/officeDocument/2006/relationships/hyperlink" Target="file:///C:\content\act\370ba400-14c4-4cdb-8a8b-b11f2a1a2f5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 Ирина Нарциссовна</dc:creator>
  <cp:keywords/>
  <dc:description/>
  <cp:lastModifiedBy>Голик Ирина Нарциссовна</cp:lastModifiedBy>
  <cp:revision>2</cp:revision>
  <dcterms:created xsi:type="dcterms:W3CDTF">2016-07-21T08:31:00Z</dcterms:created>
  <dcterms:modified xsi:type="dcterms:W3CDTF">2016-07-21T08:31:00Z</dcterms:modified>
</cp:coreProperties>
</file>