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31" w:rsidRDefault="007E5C31" w:rsidP="007E5C31">
      <w:pPr>
        <w:ind w:firstLine="810"/>
        <w:jc w:val="center"/>
        <w:rPr>
          <w:rFonts w:ascii="Arial" w:hAnsi="Arial" w:cs="Arial"/>
        </w:rPr>
      </w:pPr>
      <w:r>
        <w:rPr>
          <w:rFonts w:ascii="Arial" w:hAnsi="Arial" w:cs="Arial"/>
        </w:rPr>
        <w:t>МИНИСТЕРСТВО ЮСТИЦИИ РОССИЙСКОЙ ФЕДЕРАЦИИ</w:t>
      </w:r>
    </w:p>
    <w:p w:rsidR="007E5C31" w:rsidRDefault="007E5C31" w:rsidP="007E5C31">
      <w:pPr>
        <w:ind w:firstLine="810"/>
        <w:jc w:val="center"/>
        <w:rPr>
          <w:rFonts w:ascii="Arial" w:hAnsi="Arial" w:cs="Arial"/>
        </w:rPr>
      </w:pPr>
    </w:p>
    <w:p w:rsidR="007E5C31" w:rsidRDefault="007E5C31" w:rsidP="007E5C31">
      <w:pPr>
        <w:ind w:firstLine="810"/>
        <w:jc w:val="center"/>
        <w:rPr>
          <w:rFonts w:ascii="Arial" w:hAnsi="Arial" w:cs="Arial"/>
        </w:rPr>
      </w:pPr>
      <w:r>
        <w:rPr>
          <w:rFonts w:ascii="Arial" w:hAnsi="Arial" w:cs="Arial"/>
        </w:rPr>
        <w:t>УПРАВЛЕНИЕ МИНИСТЕРСТВА ЮСТИЦИИ</w:t>
      </w:r>
    </w:p>
    <w:p w:rsidR="007E5C31" w:rsidRDefault="007E5C31" w:rsidP="007E5C31">
      <w:pPr>
        <w:ind w:firstLine="810"/>
        <w:jc w:val="center"/>
        <w:rPr>
          <w:rFonts w:ascii="Arial" w:hAnsi="Arial" w:cs="Arial"/>
        </w:rPr>
      </w:pPr>
      <w:r>
        <w:rPr>
          <w:rFonts w:ascii="Arial" w:hAnsi="Arial" w:cs="Arial"/>
        </w:rPr>
        <w:t>РОССИЙСКОЙ ФЕДЕРАЦИИ ПО КАЛУЖСКОЙ ОБЛАСТИ</w:t>
      </w:r>
    </w:p>
    <w:p w:rsidR="007E5C31" w:rsidRDefault="007E5C31" w:rsidP="007E5C31">
      <w:pPr>
        <w:jc w:val="center"/>
        <w:rPr>
          <w:rFonts w:ascii="Arial" w:hAnsi="Arial" w:cs="Arial"/>
          <w:b/>
        </w:rPr>
      </w:pPr>
    </w:p>
    <w:p w:rsidR="007E5C31" w:rsidRDefault="007E5C31" w:rsidP="007E5C31">
      <w:pPr>
        <w:rPr>
          <w:rFonts w:ascii="Arial" w:hAnsi="Arial" w:cs="Arial"/>
        </w:rPr>
      </w:pPr>
      <w:r>
        <w:rPr>
          <w:rFonts w:ascii="Arial" w:hAnsi="Arial" w:cs="Arial"/>
        </w:rPr>
        <w:t>22 июля 2020 г. № 40/02-1886</w:t>
      </w:r>
    </w:p>
    <w:p w:rsidR="007E5C31" w:rsidRDefault="007E5C31" w:rsidP="007E5C31">
      <w:pPr>
        <w:ind w:firstLine="709"/>
        <w:jc w:val="both"/>
        <w:rPr>
          <w:rFonts w:ascii="Arial" w:hAnsi="Arial" w:cs="Arial"/>
        </w:rPr>
      </w:pPr>
    </w:p>
    <w:tbl>
      <w:tblPr>
        <w:tblW w:w="0" w:type="auto"/>
        <w:tblInd w:w="5495" w:type="dxa"/>
        <w:tblLook w:val="04A0" w:firstRow="1" w:lastRow="0" w:firstColumn="1" w:lastColumn="0" w:noHBand="0" w:noVBand="1"/>
      </w:tblPr>
      <w:tblGrid>
        <w:gridCol w:w="3685"/>
      </w:tblGrid>
      <w:tr w:rsidR="007E5C31" w:rsidTr="007E5C31">
        <w:tc>
          <w:tcPr>
            <w:tcW w:w="3685" w:type="dxa"/>
          </w:tcPr>
          <w:p w:rsidR="007E5C31" w:rsidRDefault="007E5C31">
            <w:pPr>
              <w:spacing w:before="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 w:type="page"/>
              <w:t xml:space="preserve">Министру культуры </w:t>
            </w:r>
          </w:p>
          <w:p w:rsidR="007E5C31" w:rsidRDefault="007E5C31">
            <w:pPr>
              <w:spacing w:before="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Калужской области </w:t>
            </w:r>
          </w:p>
          <w:p w:rsidR="007E5C31" w:rsidRDefault="007E5C31">
            <w:pPr>
              <w:spacing w:before="1"/>
              <w:jc w:val="center"/>
              <w:rPr>
                <w:rFonts w:ascii="Arial" w:hAnsi="Arial" w:cs="Arial"/>
              </w:rPr>
            </w:pPr>
          </w:p>
          <w:p w:rsidR="007E5C31" w:rsidRDefault="007E5C31">
            <w:pPr>
              <w:pStyle w:val="a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П.А. Суслову </w:t>
            </w:r>
          </w:p>
          <w:p w:rsidR="007E5C31" w:rsidRDefault="007E5C31">
            <w:pPr>
              <w:pStyle w:val="a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  <w:p w:rsidR="007E5C31" w:rsidRDefault="007E5C31">
            <w:pPr>
              <w:pStyle w:val="a6"/>
              <w:ind w:left="0" w:right="217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ул. Пролетарская, д. 111, </w:t>
            </w:r>
          </w:p>
          <w:p w:rsidR="007E5C31" w:rsidRDefault="007E5C31">
            <w:pPr>
              <w:pStyle w:val="a6"/>
              <w:ind w:left="0"/>
              <w:contextualSpacing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г. Калуга, 248016 </w:t>
            </w:r>
          </w:p>
          <w:p w:rsidR="007E5C31" w:rsidRDefault="007E5C31">
            <w:pPr>
              <w:pStyle w:val="a6"/>
              <w:ind w:left="0" w:right="-143" w:firstLine="709"/>
              <w:contextualSpacing/>
              <w:rPr>
                <w:rFonts w:ascii="Arial" w:hAnsi="Arial" w:cs="Arial"/>
                <w:sz w:val="24"/>
                <w:szCs w:val="24"/>
                <w:lang w:val="ru-RU"/>
              </w:rPr>
            </w:pPr>
          </w:p>
          <w:p w:rsidR="007E5C31" w:rsidRDefault="007E5C31">
            <w:pPr>
              <w:ind w:right="-143" w:firstLine="709"/>
              <w:contextualSpacing/>
              <w:jc w:val="center"/>
              <w:rPr>
                <w:rFonts w:ascii="Arial" w:hAnsi="Arial" w:cs="Arial"/>
              </w:rPr>
            </w:pPr>
          </w:p>
        </w:tc>
      </w:tr>
    </w:tbl>
    <w:p w:rsidR="007E5C31" w:rsidRDefault="007E5C31" w:rsidP="007E5C31">
      <w:pPr>
        <w:ind w:left="-567" w:right="-143" w:firstLine="709"/>
        <w:contextualSpacing/>
        <w:jc w:val="center"/>
        <w:rPr>
          <w:rFonts w:ascii="Arial" w:hAnsi="Arial" w:cs="Arial"/>
        </w:rPr>
      </w:pPr>
    </w:p>
    <w:p w:rsidR="007E5C31" w:rsidRDefault="007E5C31" w:rsidP="007E5C31">
      <w:pPr>
        <w:ind w:left="-567" w:right="-143" w:firstLine="709"/>
        <w:contextualSpacing/>
        <w:jc w:val="center"/>
        <w:rPr>
          <w:rFonts w:ascii="Arial" w:hAnsi="Arial" w:cs="Arial"/>
        </w:rPr>
      </w:pPr>
    </w:p>
    <w:p w:rsidR="007E5C31" w:rsidRDefault="007E5C31" w:rsidP="007E5C31">
      <w:pPr>
        <w:ind w:left="-567" w:right="-143" w:firstLine="709"/>
        <w:contextualSpacing/>
        <w:jc w:val="center"/>
        <w:rPr>
          <w:rFonts w:ascii="Arial" w:hAnsi="Arial" w:cs="Arial"/>
        </w:rPr>
      </w:pPr>
    </w:p>
    <w:p w:rsidR="007E5C31" w:rsidRDefault="007E5C31" w:rsidP="007E5C31">
      <w:pPr>
        <w:ind w:left="-567" w:right="-143" w:firstLine="709"/>
        <w:contextualSpacing/>
        <w:jc w:val="center"/>
        <w:rPr>
          <w:rFonts w:ascii="Arial" w:hAnsi="Arial" w:cs="Arial"/>
        </w:rPr>
      </w:pPr>
    </w:p>
    <w:p w:rsidR="007E5C31" w:rsidRDefault="007E5C31" w:rsidP="007E5C31">
      <w:pPr>
        <w:ind w:left="-567" w:right="-143" w:firstLine="709"/>
        <w:contextualSpacing/>
        <w:jc w:val="center"/>
        <w:rPr>
          <w:rFonts w:ascii="Arial" w:hAnsi="Arial" w:cs="Arial"/>
        </w:rPr>
      </w:pPr>
    </w:p>
    <w:p w:rsidR="007E5C31" w:rsidRDefault="007E5C31" w:rsidP="007E5C31">
      <w:pPr>
        <w:ind w:left="-567" w:right="-143" w:firstLine="709"/>
        <w:contextualSpacing/>
        <w:jc w:val="center"/>
        <w:rPr>
          <w:rFonts w:ascii="Arial" w:hAnsi="Arial" w:cs="Arial"/>
        </w:rPr>
      </w:pPr>
    </w:p>
    <w:p w:rsidR="007E5C31" w:rsidRDefault="007E5C31" w:rsidP="007E5C31">
      <w:pPr>
        <w:ind w:left="-567" w:right="-143" w:firstLine="709"/>
        <w:contextualSpacing/>
        <w:jc w:val="center"/>
        <w:rPr>
          <w:rFonts w:ascii="Arial" w:hAnsi="Arial" w:cs="Arial"/>
        </w:rPr>
      </w:pPr>
    </w:p>
    <w:p w:rsidR="007E5C31" w:rsidRDefault="007E5C31" w:rsidP="007E5C31">
      <w:pPr>
        <w:pStyle w:val="text"/>
        <w:ind w:firstLine="709"/>
        <w:jc w:val="center"/>
        <w:rPr>
          <w:b/>
        </w:rPr>
      </w:pPr>
      <w:r>
        <w:rPr>
          <w:b/>
        </w:rPr>
        <w:t>ЭКСПЕРТНОЕ ЗАКЛЮЧЕНИЕ</w:t>
      </w:r>
    </w:p>
    <w:p w:rsidR="007E5C31" w:rsidRDefault="007E5C31" w:rsidP="007E5C31">
      <w:pPr>
        <w:pStyle w:val="text"/>
        <w:ind w:firstLine="709"/>
        <w:jc w:val="center"/>
        <w:rPr>
          <w:b/>
        </w:rPr>
      </w:pPr>
      <w:r>
        <w:rPr>
          <w:b/>
        </w:rPr>
        <w:t>по результатам проведения правовой экспертизы</w:t>
      </w:r>
    </w:p>
    <w:p w:rsidR="007E5C31" w:rsidRDefault="007E5C31" w:rsidP="007E5C31">
      <w:pPr>
        <w:pStyle w:val="text"/>
        <w:ind w:firstLine="709"/>
        <w:jc w:val="center"/>
        <w:rPr>
          <w:b/>
        </w:rPr>
      </w:pPr>
    </w:p>
    <w:p w:rsidR="007E5C31" w:rsidRDefault="007E5C31" w:rsidP="007E5C31">
      <w:pPr>
        <w:pStyle w:val="text"/>
        <w:ind w:firstLine="709"/>
        <w:jc w:val="center"/>
        <w:rPr>
          <w:b/>
        </w:rPr>
      </w:pPr>
      <w:r>
        <w:rPr>
          <w:b/>
        </w:rPr>
        <w:t>на приказ министерства культуры Калужской области</w:t>
      </w:r>
    </w:p>
    <w:p w:rsidR="007E5C31" w:rsidRDefault="007E5C31" w:rsidP="007E5C31">
      <w:pPr>
        <w:pStyle w:val="text"/>
        <w:ind w:firstLine="709"/>
        <w:jc w:val="center"/>
        <w:rPr>
          <w:b/>
        </w:rPr>
      </w:pPr>
      <w:r>
        <w:rPr>
          <w:b/>
        </w:rPr>
        <w:t>от 28.06.2019 № 249 «О реализации Закона Калужской области «Об установлении системы оплаты труда работников муниципальных дошкольных образовательных организаций, работников государственных образовательных организаций, работников государственных учреждений, осуществляющих деятельность в сфере перевозки детей» (в редакции приказа министерства культуры Калужской области от 23.04.2020 № 105)</w:t>
      </w:r>
    </w:p>
    <w:p w:rsidR="007E5C31" w:rsidRDefault="007E5C31" w:rsidP="007E5C31">
      <w:pPr>
        <w:pStyle w:val="text"/>
        <w:ind w:firstLine="709"/>
      </w:pPr>
    </w:p>
    <w:p w:rsidR="007E5C31" w:rsidRDefault="007E5C31" w:rsidP="007E5C31">
      <w:pPr>
        <w:pStyle w:val="text"/>
        <w:ind w:firstLine="709"/>
      </w:pPr>
      <w:r>
        <w:t>Управление Министерства юстиции Российской Федерации по Калужской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 1313 «Вопросы Министерства юстиции Российской Федерации»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26, провело правовую экспертизу приказа министерства культуры Калужской области от 28.06.2019 № 249 «О реализации Закона Калужской области «Об установлении системы оплаты труда работников муниципальных дошкольных образовательных организаций, работников государственных образовательных организаций, работников государственных учреждений, осуществляющих деятельность в сфере перевозки детей» (в редакции приказа министерства культуры Калужской области от 23.04.2020 № 105) (далее – Приказ № 249).</w:t>
      </w:r>
    </w:p>
    <w:p w:rsidR="007E5C31" w:rsidRDefault="007E5C31" w:rsidP="007E5C31">
      <w:pPr>
        <w:pStyle w:val="text"/>
        <w:ind w:firstLine="709"/>
      </w:pPr>
      <w:r>
        <w:t>Поводом для проведения правовой экспертизы данного нормативного правового акта послужило внесение в него изменений.</w:t>
      </w:r>
    </w:p>
    <w:p w:rsidR="007E5C31" w:rsidRDefault="007E5C31" w:rsidP="007E5C31">
      <w:pPr>
        <w:pStyle w:val="text"/>
        <w:ind w:firstLine="709"/>
      </w:pPr>
      <w:r>
        <w:t xml:space="preserve">Текст приказа министерства культуры Калужской области от 23.04.2020 № 105 «О внесении изменений в приказ министерства культуры Калужской области </w:t>
      </w:r>
      <w:r>
        <w:lastRenderedPageBreak/>
        <w:t>от 28.06.2019 № 249 «О реализации Закона Калужской области «Об установлении системы оплаты труда работников муниципальных дошкольных образовательных организаций, работников государственных образовательных организаций, работников государственных учреждений, осуществляющих деятельность в сфере перевозки детей» (далее – приказ № 105) опубликован в сетевом издании «Сайт «Газеты Калужской области «Весть» http://www.vest-news.ru 20.05.2020 и на официальном интернет-портале правовой информации http://www.pravo.gov.ru 20.05.2020.</w:t>
      </w:r>
    </w:p>
    <w:p w:rsidR="007E5C31" w:rsidRDefault="007E5C31" w:rsidP="007E5C31">
      <w:pPr>
        <w:pStyle w:val="text"/>
        <w:ind w:firstLine="709"/>
      </w:pPr>
      <w:r>
        <w:t>Текст приказа № 249 в первоначальной редакции опубликован в сетевом издании «Сайт «Газеты Калужской области «Весть» http://www.vest-news.ru 26.07.2019, на официальном интернет-портале правовой информации http://www.pravo.gov.ru 26.07.2019.</w:t>
      </w:r>
    </w:p>
    <w:p w:rsidR="007E5C31" w:rsidRDefault="007E5C31" w:rsidP="007E5C31">
      <w:pPr>
        <w:pStyle w:val="text"/>
        <w:ind w:firstLine="709"/>
      </w:pPr>
      <w:r>
        <w:t>Предметом регулирования нормативного правого акта являются общественные отношения в сфере оплаты труда работников государственных и муниципальных учреждений. Регулирование данных общественных отношений в соответствии с пунктом «к» части 1 статьи 72 Конституции Российской Федерации находится в совместном ведении Российской Федерации и субъектов Российской Федерации.</w:t>
      </w:r>
    </w:p>
    <w:p w:rsidR="007E5C31" w:rsidRDefault="007E5C31" w:rsidP="007E5C31">
      <w:pPr>
        <w:pStyle w:val="text"/>
        <w:ind w:firstLine="709"/>
      </w:pPr>
      <w:r>
        <w:t>Нормативное правовое регулирование указанных отношений на федеральном уровне обеспечивается Конституцией Российской Федерации, Трудовым кодексом Российской Федерации (далее – ТК РФ), Федеральным законом от 06.10.1999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(далее – Федеральный закон № 184-ФЗ).</w:t>
      </w:r>
    </w:p>
    <w:p w:rsidR="007E5C31" w:rsidRDefault="007E5C31" w:rsidP="007E5C31">
      <w:pPr>
        <w:pStyle w:val="text"/>
        <w:ind w:firstLine="709"/>
      </w:pPr>
      <w:r>
        <w:t>Приказ № 249 принят в целях реализации Закона Калужской области от 06.07.2011 № 163-ОЗ «Об установлении системы оплаты труда работников муниципальных дошкольных образовательных организаций, работников государственных образовательных организаций, работников государственных учреждений, осуществляющих деятельность в сфере перевозки детей» (далее – Закон Калужской области от 06.07.2011 № 163-ОЗ), в пределах компетенции министерства культуры Калужской области, установленной Законом Калужской области от 06.07.2011 № 163-ОЗ, Положением о министерстве культуры Калужской области, утвержденным постановлением Правительства Калужской области от 11.04.2018 № 213.</w:t>
      </w:r>
    </w:p>
    <w:p w:rsidR="007E5C31" w:rsidRDefault="007E5C31" w:rsidP="007E5C31">
      <w:pPr>
        <w:pStyle w:val="text"/>
        <w:ind w:firstLine="709"/>
      </w:pPr>
      <w:r>
        <w:t>Порядок официального опубликования и вступления в силу документа соблюден в соответствии с нормами статьи 8 Федерального закона № 184-ФЗ с учетом его конституционно-правового смысла, выявленного Конституционным Судом Российской Федерации в Определении от 10.03.2005 № 71-О.</w:t>
      </w:r>
    </w:p>
    <w:p w:rsidR="007E5C31" w:rsidRDefault="007E5C31" w:rsidP="007E5C31">
      <w:pPr>
        <w:pStyle w:val="text"/>
        <w:ind w:firstLine="709"/>
      </w:pPr>
      <w:r>
        <w:t>Форма и текст документа соответствуют правилам юридической техники.</w:t>
      </w:r>
    </w:p>
    <w:p w:rsidR="007E5C31" w:rsidRDefault="007E5C31" w:rsidP="007E5C31">
      <w:pPr>
        <w:pStyle w:val="text"/>
        <w:ind w:firstLine="709"/>
      </w:pPr>
      <w:r>
        <w:t>В ходе проведения правовой экспертизы данного нормативного правового акта выявлено несоответствие федеральному законодательству.</w:t>
      </w:r>
    </w:p>
    <w:p w:rsidR="007E5C31" w:rsidRDefault="007E5C31" w:rsidP="007E5C31">
      <w:pPr>
        <w:pStyle w:val="text"/>
        <w:ind w:firstLine="709"/>
      </w:pPr>
      <w:r>
        <w:t xml:space="preserve">Приложением № 3 к приказу № 249 утверждено Положение о порядке и условиях применения поощрительных выплат руководителям государственных образовательных организаций, подведомственных министерству культуры Калужской области (далее – Положение). </w:t>
      </w:r>
    </w:p>
    <w:p w:rsidR="007E5C31" w:rsidRDefault="007E5C31" w:rsidP="007E5C31">
      <w:pPr>
        <w:pStyle w:val="text"/>
        <w:ind w:firstLine="709"/>
      </w:pPr>
      <w:r>
        <w:t>Пунктом 2.2.3. Положения установлены поощрительные выплаты в виде материальной помощи руководителям государственных организаций, которые производятся на основании приказа министерства по заявлению руководителя государственной организации, а также установлены основания для произведения указанных выплат и их размер.</w:t>
      </w:r>
    </w:p>
    <w:p w:rsidR="007E5C31" w:rsidRDefault="007E5C31" w:rsidP="007E5C31">
      <w:pPr>
        <w:pStyle w:val="text"/>
        <w:ind w:firstLine="709"/>
      </w:pPr>
      <w:r>
        <w:lastRenderedPageBreak/>
        <w:t>Приказом № 105 пункт 2.2.3. Положения дополнен подпунктом «е», согласно которому указанные выплаты также могут производиться в иных случаях по решению министра культуры Калужской области в размере, определяемом приказом министерства.</w:t>
      </w:r>
    </w:p>
    <w:p w:rsidR="007E5C31" w:rsidRDefault="007E5C31" w:rsidP="007E5C31">
      <w:pPr>
        <w:pStyle w:val="text"/>
        <w:ind w:firstLine="709"/>
      </w:pPr>
      <w:r>
        <w:t xml:space="preserve">Словосочетание «в иных случаях» не дает должного представления о том, какие обстоятельства могут быть признаны в качестве основания для произведения поощрительных выплат. </w:t>
      </w:r>
    </w:p>
    <w:p w:rsidR="007E5C31" w:rsidRDefault="007E5C31" w:rsidP="007E5C31">
      <w:pPr>
        <w:pStyle w:val="text"/>
        <w:ind w:firstLine="709"/>
      </w:pPr>
      <w:r>
        <w:t>Поощрительная выплата в соответствии с подпунктом «е» пункта 2.2.3. Положения производится по решению министра культуры Калужской области, однако, перечня оснований (случаев) для принятия министром культуры Калужской области решения о произведении выплаты и издания приказа, Приказ № 249 не содержит.</w:t>
      </w:r>
    </w:p>
    <w:p w:rsidR="007E5C31" w:rsidRDefault="007E5C31" w:rsidP="007E5C31">
      <w:pPr>
        <w:pStyle w:val="text"/>
        <w:ind w:firstLine="709"/>
      </w:pPr>
      <w:r>
        <w:t xml:space="preserve">Поощрительные выплаты в соответствии со статьей 129 ТК РФ входят в заработную плату (оплату труда) работника. К числу принципов правового регулирования трудовых отношений статья 2 ТК РФ относит равенство прав и возможностей работников, обеспечение права каждого работника на своевременную и в полном размере выплату справедливой заработной платы. </w:t>
      </w:r>
    </w:p>
    <w:p w:rsidR="007E5C31" w:rsidRDefault="007E5C31" w:rsidP="007E5C31">
      <w:pPr>
        <w:pStyle w:val="text"/>
        <w:ind w:firstLine="709"/>
      </w:pPr>
      <w:r>
        <w:t>В соответствии со статьей 144 ТК РФ системы оплаты труда работников государственных и муниципальных учреждений устанавливаются с учетом рекомендаций Российской трехсторонней комиссии по регулированию социально-трудовых отношений.</w:t>
      </w:r>
    </w:p>
    <w:p w:rsidR="007E5C31" w:rsidRDefault="007E5C31" w:rsidP="007E5C31">
      <w:pPr>
        <w:pStyle w:val="text"/>
        <w:ind w:firstLine="709"/>
      </w:pPr>
      <w:r>
        <w:t>Российская трехсторонняя комиссия по регулированию социально-трудовых отношений ежегодно разрабатывает единые рекомендации по установлению на федеральном, региональном и местном уровнях систем оплаты труда работников государственных и муниципальных учреждений. Указанные рекомендации учитываются органами исполнительной власти субъектов Российской Федерации при определении объемов финансового обеспечения деятельности государственных и муниципальных учреждений, в том числе в сфере культуры (статья 135 ТК РФ).</w:t>
      </w:r>
    </w:p>
    <w:p w:rsidR="007E5C31" w:rsidRDefault="007E5C31" w:rsidP="007E5C31">
      <w:pPr>
        <w:pStyle w:val="text"/>
        <w:ind w:firstLine="709"/>
      </w:pPr>
      <w:r>
        <w:t>Единые рекомендации по установлению на федеральном, региональном и местном уровнях систем оплаты труда работников государственных и муниципальных учреждений на 2020 год, утвержденные решением Российской трехсторонней комиссии по регулированию социально-трудовых отношений от 24.12.2019 (далее – Единые рекомендации), к числу принципов формирования систем оплаты труда работников государственных и муниципальных учреждений на федеральном, региональном и муниципальном уровнях относят обеспечение равной оплаты за труд равной ценности, в том числе при установлении размеров окладов (должностных окладов), ставок заработной платы, выплат компенсационного и стимулирующего характера, а также недопущение какой бы то ни было дискриминации - различий, исключений и предпочтений, не связанных с деловыми качествами работников и результатами их труда, а также результатами деятельности учреждений.</w:t>
      </w:r>
    </w:p>
    <w:p w:rsidR="007E5C31" w:rsidRDefault="007E5C31" w:rsidP="007E5C31">
      <w:pPr>
        <w:pStyle w:val="text"/>
        <w:ind w:firstLine="709"/>
      </w:pPr>
      <w:r>
        <w:t>Таким образом, отсутствие в подпункте «е» пункта 2.2.3. Положения конкретных оснований для произведения поощрительных выплат руководителям организаций, определенных размеров таких выплат или порядка их исчисления не соответствует принципу равенства, установленному статьей 2 ТК РФ, а также статьям 135, 144 ТК РФ, Единым рекомендациям, определяющим порядок формирования систем оплаты труда работников государственных и муниципальных учреждений.</w:t>
      </w:r>
    </w:p>
    <w:p w:rsidR="007E5C31" w:rsidRDefault="007E5C31" w:rsidP="007E5C31">
      <w:pPr>
        <w:pStyle w:val="text"/>
        <w:ind w:firstLine="709"/>
      </w:pPr>
      <w:r>
        <w:t xml:space="preserve">Вместе с тем необходимо отметить, что поощрительные выплаты входят в категорию оплата труда работника (вознаграждение за труд), в то время как материальная помощь по своей сути является социальной выплатой. Так, к </w:t>
      </w:r>
      <w:r>
        <w:lastRenderedPageBreak/>
        <w:t>основаниям для произведения выплат пункт 2 Положения относит: утрату или повреждение имущества; нуждаемости в лечении в связи с несчастным случаем, аварией, восстановлением после длительной болезни; смерть близкого родственника; рождение ребенка; государственную регистрацию заключения брака.</w:t>
      </w:r>
    </w:p>
    <w:p w:rsidR="007E5C31" w:rsidRDefault="007E5C31" w:rsidP="007E5C31">
      <w:pPr>
        <w:pStyle w:val="text"/>
        <w:ind w:firstLine="709"/>
      </w:pPr>
      <w:r>
        <w:t xml:space="preserve">Таким образом, использование в пункте 2.2.3. Положения формулировки «поощрительные выплаты в виде материальной помощи» не соответствует предмету регулирования Приказа № 249. </w:t>
      </w:r>
    </w:p>
    <w:p w:rsidR="007E5C31" w:rsidRDefault="007E5C31" w:rsidP="007E5C31">
      <w:pPr>
        <w:pStyle w:val="text"/>
        <w:ind w:firstLine="709"/>
      </w:pPr>
      <w:r>
        <w:t>В ходе проведенной антикоррупционной экспертизы Приказа № 249 в соответствии с частью 3 статьи 3 Федерального закона от 17.07.2009 № 172-ФЗ «Об антикоррупционной экспертизе нормативных правовых актов и проектов нормативных правовых актов», статьей 6 Федерального закона от 25.12.2008 № 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 96, в содержании подпункта «е» пункта 2.2.3. Приложения № 3 к приказу № 249 выявлены коррупциогенные факторы:</w:t>
      </w:r>
    </w:p>
    <w:p w:rsidR="007E5C31" w:rsidRDefault="007E5C31" w:rsidP="007E5C31">
      <w:pPr>
        <w:pStyle w:val="text"/>
        <w:ind w:firstLine="709"/>
      </w:pPr>
      <w:r>
        <w:t>- широта дискреционных полномочий – отсутствие или неопределенность сроков, условий или оснований принятия решения, наличие дублирующих полномочий государственного органа, органа местного самоуправления или организации (их должностных лиц) (подпункт «а»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 «Об антикоррупционной экспертизе нормативных правовых актов и проектов нормативных правовых актов»);</w:t>
      </w:r>
    </w:p>
    <w:p w:rsidR="007E5C31" w:rsidRDefault="007E5C31" w:rsidP="007E5C31">
      <w:pPr>
        <w:pStyle w:val="text"/>
        <w:ind w:firstLine="709"/>
      </w:pPr>
      <w:r>
        <w:t>- юридико-лингвистическая неопределенность – употребление неустоявшихся, двусмысленных терминов и категорий оценочного характера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 «Об антикоррупционной экспертизе нормативных правовых актов и проектов нормативных правовых актов»).</w:t>
      </w:r>
    </w:p>
    <w:p w:rsidR="007E5C31" w:rsidRDefault="007E5C31" w:rsidP="007E5C31">
      <w:pPr>
        <w:pStyle w:val="text"/>
        <w:ind w:firstLine="709"/>
      </w:pPr>
      <w:r>
        <w:t xml:space="preserve">В целях устранения несоответствия федеральному законодательству и выявленных коррупциогенных факторов предлагаем подпункт «е» пункта 2.2.3. Приложения № 3 к приказу министерства культуры Калужской области от 28.06.2019 № 249 «О реализации Закона Калужской области «Об установлении системы оплаты труда работников муниципальных дошкольных образовательных организаций, работников государственных образовательных организаций, работников государственных учреждений, осуществляющих деятельность в сфере перевозки детей» (в редакции приказа министерства культуры Калужской области от 23.04.2020 № 105) признать утратившим силу. </w:t>
      </w:r>
    </w:p>
    <w:p w:rsidR="007E5C31" w:rsidRDefault="007E5C31" w:rsidP="007E5C31">
      <w:pPr>
        <w:pStyle w:val="text"/>
        <w:ind w:firstLine="709"/>
      </w:pPr>
      <w:r>
        <w:t>Просим рассмотреть вопрос о принятии необходимых мер в целях приведения приказа министерства культуры Калужской области от 28.06.2019 № 249 «О реализации Закона Калужской области «Об установлении системы оплаты труда работников муниципальных дошкольных образовательных организаций, работников государственных образовательных организаций, работников государственных учреждений, осуществляющих деятельность в сфере перевозки детей» (в редакции приказа министерства культуры Калужской области от 23.04.2020 № 105) в соответствие с федеральным законодательством и устранения выявленных коррупциогенных факторов.</w:t>
      </w:r>
    </w:p>
    <w:p w:rsidR="007E5C31" w:rsidRDefault="007E5C31" w:rsidP="007E5C31">
      <w:pPr>
        <w:pStyle w:val="text"/>
        <w:ind w:firstLine="709"/>
      </w:pPr>
      <w:r>
        <w:t>О принятых мерах просьба проинформировать Управление Министерства юстиции Российской Федерации по Калужской области.</w:t>
      </w:r>
    </w:p>
    <w:p w:rsidR="007E5C31" w:rsidRDefault="007E5C31" w:rsidP="007E5C31">
      <w:pPr>
        <w:ind w:right="-143"/>
        <w:contextualSpacing/>
        <w:jc w:val="both"/>
        <w:rPr>
          <w:rFonts w:ascii="Arial" w:hAnsi="Arial" w:cs="Arial"/>
          <w:bCs/>
        </w:rPr>
      </w:pPr>
    </w:p>
    <w:p w:rsidR="007E5C31" w:rsidRDefault="007E5C31" w:rsidP="007E5C31">
      <w:pPr>
        <w:ind w:right="-143" w:firstLine="708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Начальник Управления Л.И. Корнева</w:t>
      </w:r>
      <w:bookmarkStart w:id="0" w:name="_GoBack"/>
      <w:bookmarkEnd w:id="0"/>
    </w:p>
    <w:sectPr w:rsidR="007E5C31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7E5C31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E5C31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7E5C31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E5C31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E5C31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E5C31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7E5C3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7E5C31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7E5C3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E5C31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7E5C31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7E5C31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7E5C31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7E5C31"/>
    <w:pPr>
      <w:ind w:firstLine="567"/>
      <w:jc w:val="both"/>
    </w:pPr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7E5C31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7E5C31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7E5C31"/>
    <w:rPr>
      <w:color w:val="0000FF"/>
      <w:u w:val="none"/>
    </w:rPr>
  </w:style>
  <w:style w:type="paragraph" w:customStyle="1" w:styleId="Application">
    <w:name w:val="Application!Приложение"/>
    <w:rsid w:val="007E5C31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7E5C31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7E5C31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7E5C31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7E5C31"/>
    <w:rPr>
      <w:sz w:val="28"/>
    </w:rPr>
  </w:style>
  <w:style w:type="paragraph" w:styleId="a6">
    <w:name w:val="Body Text"/>
    <w:basedOn w:val="a"/>
    <w:link w:val="a7"/>
    <w:uiPriority w:val="1"/>
    <w:semiHidden/>
    <w:unhideWhenUsed/>
    <w:qFormat/>
    <w:rsid w:val="007E5C31"/>
    <w:pPr>
      <w:widowControl w:val="0"/>
      <w:ind w:left="112"/>
    </w:pPr>
    <w:rPr>
      <w:sz w:val="27"/>
      <w:szCs w:val="27"/>
      <w:lang w:val="en-US" w:eastAsia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7E5C31"/>
    <w:rPr>
      <w:rFonts w:ascii="Times New Roman" w:eastAsia="Times New Roman" w:hAnsi="Times New Roman"/>
      <w:sz w:val="27"/>
      <w:szCs w:val="27"/>
      <w:lang w:val="en-US" w:eastAsia="en-US"/>
    </w:rPr>
  </w:style>
  <w:style w:type="paragraph" w:customStyle="1" w:styleId="text">
    <w:name w:val="text"/>
    <w:basedOn w:val="a"/>
    <w:rsid w:val="007E5C31"/>
    <w:pPr>
      <w:ind w:firstLine="567"/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4A3BA9-3647-48BA-9560-7D317E02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5</Pages>
  <Words>1402</Words>
  <Characters>10677</Characters>
  <Application>Microsoft Office Word</Application>
  <DocSecurity>0</DocSecurity>
  <Lines>205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Андрюхин Александр Семёнович</dc:creator>
  <cp:keywords/>
  <cp:lastModifiedBy>Андрюхин Александр Семёнович</cp:lastModifiedBy>
  <cp:revision>1</cp:revision>
  <dcterms:created xsi:type="dcterms:W3CDTF">2020-08-03T09:08:00Z</dcterms:created>
  <dcterms:modified xsi:type="dcterms:W3CDTF">2020-08-03T09:08:00Z</dcterms:modified>
</cp:coreProperties>
</file>