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0"/>
        <w:tblW w:w="4928" w:type="dxa"/>
        <w:tblLayout w:type="fixed"/>
        <w:tblLook w:val="0000"/>
      </w:tblPr>
      <w:tblGrid>
        <w:gridCol w:w="4928"/>
      </w:tblGrid>
      <w:tr w:rsidR="00CF323B" w:rsidRPr="00CF323B" w:rsidTr="000C1860">
        <w:trPr>
          <w:trHeight w:val="3576"/>
        </w:trPr>
        <w:tc>
          <w:tcPr>
            <w:tcW w:w="4928" w:type="dxa"/>
          </w:tcPr>
          <w:p w:rsidR="00CF323B" w:rsidRPr="00CF323B" w:rsidRDefault="00CF323B" w:rsidP="000C1860">
            <w:pPr>
              <w:ind w:firstLine="709"/>
              <w:jc w:val="center"/>
              <w:rPr>
                <w:rFonts w:cs="Arial"/>
              </w:rPr>
            </w:pPr>
            <w:r w:rsidRPr="00CF323B">
              <w:rPr>
                <w:rFonts w:cs="Arial"/>
              </w:rPr>
              <w:t>МИНИСТЕРСТВО ЮСТИЦИИ</w:t>
            </w:r>
          </w:p>
          <w:p w:rsidR="00CF323B" w:rsidRPr="00CF323B" w:rsidRDefault="00CF323B" w:rsidP="000C1860">
            <w:pPr>
              <w:ind w:firstLine="709"/>
              <w:jc w:val="center"/>
              <w:rPr>
                <w:rFonts w:cs="Arial"/>
              </w:rPr>
            </w:pPr>
            <w:r w:rsidRPr="00CF323B">
              <w:rPr>
                <w:rFonts w:cs="Arial"/>
              </w:rPr>
              <w:t>РОССИЙСКОЙ ФЕДЕРАЦИИ</w:t>
            </w:r>
          </w:p>
          <w:p w:rsidR="00CF323B" w:rsidRPr="00CF323B" w:rsidRDefault="00CF323B" w:rsidP="000C1860">
            <w:pPr>
              <w:ind w:firstLine="709"/>
              <w:jc w:val="center"/>
              <w:rPr>
                <w:rFonts w:cs="Arial"/>
              </w:rPr>
            </w:pPr>
          </w:p>
          <w:p w:rsidR="00CF323B" w:rsidRPr="00CF323B" w:rsidRDefault="00CF323B" w:rsidP="000C1860">
            <w:pPr>
              <w:ind w:firstLine="709"/>
              <w:jc w:val="center"/>
              <w:rPr>
                <w:rFonts w:cs="Arial"/>
              </w:rPr>
            </w:pPr>
            <w:r w:rsidRPr="00CF323B">
              <w:rPr>
                <w:rFonts w:cs="Arial"/>
              </w:rPr>
              <w:t>Управление Министерства</w:t>
            </w:r>
          </w:p>
          <w:p w:rsidR="00CF323B" w:rsidRPr="00CF323B" w:rsidRDefault="00CF323B" w:rsidP="000C1860">
            <w:pPr>
              <w:ind w:firstLine="709"/>
              <w:jc w:val="center"/>
              <w:rPr>
                <w:rFonts w:cs="Arial"/>
              </w:rPr>
            </w:pPr>
            <w:r w:rsidRPr="00CF323B">
              <w:rPr>
                <w:rFonts w:cs="Arial"/>
              </w:rPr>
              <w:t>юстиции Российской Федерации</w:t>
            </w:r>
          </w:p>
          <w:p w:rsidR="00CF323B" w:rsidRPr="00CF323B" w:rsidRDefault="00CF323B" w:rsidP="000C1860">
            <w:pPr>
              <w:ind w:firstLine="709"/>
              <w:jc w:val="center"/>
              <w:rPr>
                <w:rFonts w:cs="Arial"/>
              </w:rPr>
            </w:pPr>
            <w:r w:rsidRPr="00CF323B">
              <w:rPr>
                <w:rFonts w:cs="Arial"/>
              </w:rPr>
              <w:t>по Костромской области</w:t>
            </w:r>
          </w:p>
          <w:p w:rsidR="00CF323B" w:rsidRPr="00CF323B" w:rsidRDefault="00CF323B" w:rsidP="000C1860">
            <w:pPr>
              <w:ind w:firstLine="709"/>
              <w:jc w:val="center"/>
              <w:rPr>
                <w:rFonts w:cs="Arial"/>
              </w:rPr>
            </w:pPr>
          </w:p>
          <w:p w:rsidR="00CF323B" w:rsidRPr="00CF323B" w:rsidRDefault="00CF323B" w:rsidP="000C1860">
            <w:pPr>
              <w:ind w:firstLine="709"/>
              <w:jc w:val="center"/>
              <w:rPr>
                <w:rFonts w:cs="Arial"/>
              </w:rPr>
            </w:pPr>
            <w:r w:rsidRPr="00CF323B">
              <w:rPr>
                <w:rFonts w:cs="Arial"/>
              </w:rPr>
              <w:t>ул. Симановского, д. 105</w:t>
            </w:r>
          </w:p>
          <w:p w:rsidR="00CF323B" w:rsidRPr="00CF323B" w:rsidRDefault="00CF323B" w:rsidP="000C1860">
            <w:pPr>
              <w:ind w:firstLine="709"/>
              <w:jc w:val="center"/>
              <w:rPr>
                <w:rFonts w:cs="Arial"/>
              </w:rPr>
            </w:pPr>
            <w:r w:rsidRPr="00CF323B">
              <w:rPr>
                <w:rFonts w:cs="Arial"/>
              </w:rPr>
              <w:t>г. Кострома, 156002</w:t>
            </w:r>
          </w:p>
          <w:p w:rsidR="00CF323B" w:rsidRPr="00CF323B" w:rsidRDefault="00CF323B" w:rsidP="000C1860">
            <w:pPr>
              <w:ind w:firstLine="709"/>
              <w:jc w:val="center"/>
              <w:rPr>
                <w:rFonts w:cs="Arial"/>
              </w:rPr>
            </w:pPr>
            <w:r w:rsidRPr="00CF323B">
              <w:rPr>
                <w:rFonts w:cs="Arial"/>
              </w:rPr>
              <w:t>Тел./факс: (4942) 45-42-22</w:t>
            </w:r>
          </w:p>
          <w:p w:rsidR="00CF323B" w:rsidRPr="00CF323B" w:rsidRDefault="00CF323B" w:rsidP="000C1860">
            <w:pPr>
              <w:ind w:firstLine="709"/>
              <w:jc w:val="center"/>
              <w:rPr>
                <w:rFonts w:cs="Arial"/>
              </w:rPr>
            </w:pPr>
            <w:r w:rsidRPr="00CF323B">
              <w:rPr>
                <w:rFonts w:cs="Arial"/>
                <w:lang w:val="en-US"/>
              </w:rPr>
              <w:t>e</w:t>
            </w:r>
            <w:r w:rsidRPr="00CF323B">
              <w:rPr>
                <w:rFonts w:cs="Arial"/>
              </w:rPr>
              <w:t>-</w:t>
            </w:r>
            <w:r w:rsidRPr="00CF323B">
              <w:rPr>
                <w:rFonts w:cs="Arial"/>
                <w:lang w:val="en-US"/>
              </w:rPr>
              <w:t>mail</w:t>
            </w:r>
            <w:r w:rsidRPr="00CF323B">
              <w:rPr>
                <w:rFonts w:cs="Arial"/>
              </w:rPr>
              <w:t xml:space="preserve">: </w:t>
            </w:r>
            <w:r w:rsidRPr="00CF323B">
              <w:rPr>
                <w:rFonts w:cs="Arial"/>
                <w:lang w:val="en-US"/>
              </w:rPr>
              <w:t>uprjust</w:t>
            </w:r>
            <w:r w:rsidRPr="00CF323B">
              <w:rPr>
                <w:rFonts w:cs="Arial"/>
              </w:rPr>
              <w:t>44@</w:t>
            </w:r>
            <w:r w:rsidRPr="00CF323B">
              <w:rPr>
                <w:rFonts w:cs="Arial"/>
                <w:lang w:val="en-US"/>
              </w:rPr>
              <w:t>kmtn</w:t>
            </w:r>
            <w:r w:rsidRPr="00CF323B">
              <w:rPr>
                <w:rFonts w:cs="Arial"/>
              </w:rPr>
              <w:t>.</w:t>
            </w:r>
            <w:r w:rsidRPr="00CF323B">
              <w:rPr>
                <w:rFonts w:cs="Arial"/>
                <w:lang w:val="en-US"/>
              </w:rPr>
              <w:t>ru</w:t>
            </w:r>
          </w:p>
          <w:p w:rsidR="00CF323B" w:rsidRPr="00CF323B" w:rsidRDefault="00CF323B" w:rsidP="000C1860">
            <w:pPr>
              <w:ind w:firstLine="709"/>
              <w:jc w:val="center"/>
              <w:rPr>
                <w:rFonts w:cs="Arial"/>
              </w:rPr>
            </w:pPr>
          </w:p>
          <w:p w:rsidR="00CF323B" w:rsidRPr="00CF323B" w:rsidRDefault="0057531D" w:rsidP="000C1860">
            <w:pPr>
              <w:ind w:firstLine="709"/>
              <w:jc w:val="center"/>
              <w:rPr>
                <w:rFonts w:cs="Arial"/>
              </w:rPr>
            </w:pPr>
            <w:r>
              <w:rPr>
                <w:rFonts w:cs="Arial"/>
              </w:rPr>
              <w:t xml:space="preserve">20.05.2014г.  </w:t>
            </w:r>
            <w:r w:rsidR="00CF323B" w:rsidRPr="00CF323B">
              <w:rPr>
                <w:rFonts w:cs="Arial"/>
              </w:rPr>
              <w:t>№</w:t>
            </w:r>
            <w:r>
              <w:rPr>
                <w:rFonts w:cs="Arial"/>
              </w:rPr>
              <w:t xml:space="preserve">  44/04-1489</w:t>
            </w:r>
          </w:p>
          <w:p w:rsidR="00CF323B" w:rsidRPr="00CF323B" w:rsidRDefault="00CF323B" w:rsidP="000C1860">
            <w:pPr>
              <w:ind w:firstLine="709"/>
              <w:jc w:val="center"/>
              <w:rPr>
                <w:rFonts w:cs="Arial"/>
              </w:rPr>
            </w:pPr>
          </w:p>
          <w:p w:rsidR="00CF323B" w:rsidRPr="00CF323B" w:rsidRDefault="00CF323B" w:rsidP="000C1860">
            <w:pPr>
              <w:ind w:firstLine="709"/>
              <w:jc w:val="center"/>
              <w:rPr>
                <w:rFonts w:cs="Arial"/>
              </w:rPr>
            </w:pPr>
            <w:r w:rsidRPr="00CF323B">
              <w:rPr>
                <w:rFonts w:cs="Arial"/>
              </w:rPr>
              <w:t>На № _______ от ___________</w:t>
            </w:r>
          </w:p>
        </w:tc>
      </w:tr>
    </w:tbl>
    <w:p w:rsidR="00CF323B" w:rsidRPr="00CF323B" w:rsidRDefault="00CF323B" w:rsidP="00CF323B">
      <w:pPr>
        <w:ind w:firstLine="709"/>
        <w:rPr>
          <w:rFonts w:cs="Arial"/>
        </w:rPr>
      </w:pPr>
    </w:p>
    <w:p w:rsidR="00CF323B" w:rsidRPr="00CF323B" w:rsidRDefault="00CF323B" w:rsidP="00CF323B">
      <w:pPr>
        <w:jc w:val="center"/>
        <w:rPr>
          <w:rFonts w:cs="Arial"/>
        </w:rPr>
      </w:pPr>
      <w:r w:rsidRPr="00CF323B">
        <w:rPr>
          <w:rFonts w:cs="Arial"/>
        </w:rPr>
        <w:t>Директору департамента социальной защиты населения, опеки и попечительства Костромской области</w:t>
      </w:r>
    </w:p>
    <w:p w:rsidR="00CF323B" w:rsidRPr="00CF323B" w:rsidRDefault="00CF323B" w:rsidP="00CF323B">
      <w:pPr>
        <w:jc w:val="center"/>
        <w:rPr>
          <w:rFonts w:cs="Arial"/>
        </w:rPr>
      </w:pPr>
    </w:p>
    <w:p w:rsidR="00CF323B" w:rsidRPr="00CF323B" w:rsidRDefault="00CF323B" w:rsidP="00CF323B">
      <w:pPr>
        <w:jc w:val="center"/>
        <w:rPr>
          <w:rFonts w:cs="Arial"/>
        </w:rPr>
      </w:pPr>
    </w:p>
    <w:p w:rsidR="00CF323B" w:rsidRPr="00CF323B" w:rsidRDefault="00CF323B" w:rsidP="00CF323B">
      <w:pPr>
        <w:jc w:val="center"/>
        <w:rPr>
          <w:rFonts w:cs="Arial"/>
        </w:rPr>
      </w:pPr>
      <w:r w:rsidRPr="00CF323B">
        <w:rPr>
          <w:rFonts w:cs="Arial"/>
        </w:rPr>
        <w:t>И.В. Прудникову</w:t>
      </w:r>
    </w:p>
    <w:p w:rsidR="00CF323B" w:rsidRPr="00CF323B" w:rsidRDefault="00CF323B" w:rsidP="00CF323B">
      <w:pPr>
        <w:ind w:firstLine="709"/>
        <w:rPr>
          <w:rFonts w:cs="Arial"/>
        </w:rPr>
      </w:pPr>
    </w:p>
    <w:p w:rsidR="00CF323B" w:rsidRPr="00CF323B" w:rsidRDefault="00CF323B" w:rsidP="00CF323B">
      <w:pPr>
        <w:ind w:firstLine="709"/>
        <w:rPr>
          <w:rFonts w:cs="Arial"/>
        </w:rPr>
      </w:pPr>
    </w:p>
    <w:p w:rsidR="00CF323B" w:rsidRPr="00CF323B" w:rsidRDefault="00CF323B" w:rsidP="00CF323B">
      <w:pPr>
        <w:ind w:firstLine="709"/>
        <w:rPr>
          <w:rFonts w:cs="Arial"/>
        </w:rPr>
      </w:pPr>
    </w:p>
    <w:p w:rsidR="00CF323B" w:rsidRPr="00CF323B" w:rsidRDefault="00CF323B" w:rsidP="00CF323B">
      <w:pPr>
        <w:ind w:firstLine="709"/>
        <w:rPr>
          <w:rFonts w:cs="Arial"/>
        </w:rPr>
      </w:pPr>
    </w:p>
    <w:p w:rsidR="00CF323B" w:rsidRPr="00CF323B" w:rsidRDefault="00CF323B" w:rsidP="00CF323B">
      <w:pPr>
        <w:ind w:firstLine="709"/>
        <w:rPr>
          <w:rFonts w:cs="Arial"/>
        </w:rPr>
      </w:pPr>
    </w:p>
    <w:p w:rsidR="00CF323B" w:rsidRPr="00CF323B" w:rsidRDefault="00CF323B" w:rsidP="00CF323B">
      <w:pPr>
        <w:ind w:firstLine="709"/>
        <w:rPr>
          <w:rFonts w:cs="Arial"/>
        </w:rPr>
      </w:pPr>
    </w:p>
    <w:p w:rsidR="00CF323B" w:rsidRPr="00CF323B" w:rsidRDefault="00CF323B" w:rsidP="00CF323B">
      <w:pPr>
        <w:ind w:firstLine="709"/>
        <w:rPr>
          <w:rFonts w:cs="Arial"/>
        </w:rPr>
      </w:pPr>
    </w:p>
    <w:p w:rsidR="00CF323B" w:rsidRPr="00CF323B" w:rsidRDefault="00CF323B" w:rsidP="00CF323B">
      <w:pPr>
        <w:ind w:firstLine="709"/>
        <w:rPr>
          <w:rFonts w:cs="Arial"/>
        </w:rPr>
      </w:pPr>
    </w:p>
    <w:p w:rsidR="00CF323B" w:rsidRPr="00CF323B" w:rsidRDefault="00CF323B" w:rsidP="00CF323B">
      <w:pPr>
        <w:ind w:firstLine="709"/>
        <w:rPr>
          <w:rFonts w:cs="Arial"/>
        </w:rPr>
      </w:pPr>
    </w:p>
    <w:p w:rsidR="00CF323B" w:rsidRPr="00CF323B" w:rsidRDefault="00CF323B" w:rsidP="00CF323B">
      <w:pPr>
        <w:ind w:firstLine="709"/>
        <w:jc w:val="center"/>
        <w:rPr>
          <w:rFonts w:cs="Arial"/>
        </w:rPr>
      </w:pPr>
      <w:r w:rsidRPr="00CF323B">
        <w:rPr>
          <w:rFonts w:cs="Arial"/>
        </w:rPr>
        <w:t>19 мая 2014                                                                         № 12196</w:t>
      </w:r>
    </w:p>
    <w:p w:rsidR="00CF323B" w:rsidRPr="00CF323B" w:rsidRDefault="00CF323B" w:rsidP="00CF323B">
      <w:pPr>
        <w:ind w:firstLine="709"/>
        <w:jc w:val="center"/>
        <w:rPr>
          <w:rFonts w:cs="Arial"/>
        </w:rPr>
      </w:pPr>
    </w:p>
    <w:p w:rsidR="00CF323B" w:rsidRPr="00CF323B" w:rsidRDefault="00CF323B" w:rsidP="00CF323B">
      <w:pPr>
        <w:jc w:val="center"/>
        <w:rPr>
          <w:rFonts w:cs="Arial"/>
        </w:rPr>
      </w:pPr>
    </w:p>
    <w:p w:rsidR="00CF323B" w:rsidRPr="00CF323B" w:rsidRDefault="00CF323B" w:rsidP="00CF323B">
      <w:pPr>
        <w:pStyle w:val="1"/>
        <w:rPr>
          <w:bCs w:val="0"/>
          <w:sz w:val="24"/>
          <w:szCs w:val="24"/>
        </w:rPr>
      </w:pPr>
      <w:r w:rsidRPr="00CF323B">
        <w:rPr>
          <w:bCs w:val="0"/>
          <w:sz w:val="24"/>
          <w:szCs w:val="24"/>
        </w:rPr>
        <w:t>ЭКСПЕРТНОЕ ЗАКЛЮЧЕНИЕ</w:t>
      </w:r>
    </w:p>
    <w:p w:rsidR="00CF323B" w:rsidRPr="00CF323B" w:rsidRDefault="00CF323B" w:rsidP="00CF323B">
      <w:pPr>
        <w:jc w:val="center"/>
        <w:rPr>
          <w:rFonts w:cs="Arial"/>
          <w:bCs/>
        </w:rPr>
      </w:pPr>
      <w:r w:rsidRPr="00CF323B">
        <w:rPr>
          <w:rFonts w:cs="Arial"/>
          <w:bCs/>
        </w:rPr>
        <w:t>по результатам проведения правовой экспертизы</w:t>
      </w:r>
    </w:p>
    <w:p w:rsidR="00CF323B" w:rsidRPr="00CF323B" w:rsidRDefault="00CF323B" w:rsidP="00CF323B">
      <w:pPr>
        <w:jc w:val="center"/>
        <w:rPr>
          <w:rFonts w:cs="Arial"/>
          <w:b/>
          <w:bCs/>
        </w:rPr>
      </w:pPr>
    </w:p>
    <w:p w:rsidR="00CF323B" w:rsidRPr="00CF323B" w:rsidRDefault="00CF323B" w:rsidP="00CF323B">
      <w:pPr>
        <w:ind w:firstLine="709"/>
        <w:jc w:val="center"/>
        <w:rPr>
          <w:rFonts w:cs="Arial"/>
          <w:b/>
          <w:bCs/>
        </w:rPr>
      </w:pPr>
      <w:r w:rsidRPr="00CF323B">
        <w:rPr>
          <w:rFonts w:cs="Arial"/>
          <w:b/>
          <w:bCs/>
        </w:rPr>
        <w:t>на приказ департамента социальной защиты населения, опеки и попечительства Костромской области от 17.12.2013 № 674 «Об утверждении административного регламента предоставления департаментом социальной защиты населения, опеки и попечительства Костромской области государственной услуги по осуществлению ежегодной денежной выплаты лицам, награжденным нагрудным знаком «Почетный донор России» (в редакции приказа департамента социальной защиты населения, опеки и попечительства Костромской области от 17.04.2014 № 181)</w:t>
      </w:r>
    </w:p>
    <w:p w:rsidR="00CF323B" w:rsidRPr="00CF323B" w:rsidRDefault="00CF323B" w:rsidP="00CF323B">
      <w:pPr>
        <w:ind w:firstLine="709"/>
        <w:jc w:val="center"/>
        <w:rPr>
          <w:rFonts w:cs="Arial"/>
          <w:b/>
          <w:bCs/>
        </w:rPr>
      </w:pPr>
    </w:p>
    <w:p w:rsidR="00CF323B" w:rsidRPr="00CF323B" w:rsidRDefault="00CF323B" w:rsidP="00CF323B">
      <w:pPr>
        <w:ind w:firstLine="709"/>
        <w:rPr>
          <w:rFonts w:cs="Arial"/>
        </w:rPr>
      </w:pPr>
      <w:r w:rsidRPr="00CF323B">
        <w:rPr>
          <w:rFonts w:cs="Arial"/>
        </w:rPr>
        <w:t xml:space="preserve">Управление Министерства юстиции Российской Федерации по Костромской области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приказа департамента социальной защиты населения, опеки и попечительства Костромской области от 17.12.2013 № 674 «Об утверждении административного регламента предоставления департаментом социальной защиты населения, опеки и попечительства Костромской области государственной услуги по осуществлению ежегодной денежной выплаты лицам, награжденным нагрудным знаком «Почетный донор России» (в редакции приказа департамента социальной защиты населения, опеки и попечительства Костромской области от 17.04.2014 </w:t>
      </w:r>
      <w:r w:rsidRPr="00CF323B">
        <w:rPr>
          <w:rFonts w:cs="Arial"/>
        </w:rPr>
        <w:br/>
        <w:t>№ 181) (далее – приказ).</w:t>
      </w:r>
    </w:p>
    <w:p w:rsidR="00CF323B" w:rsidRPr="00CF323B" w:rsidRDefault="00CF323B" w:rsidP="00CF323B">
      <w:pPr>
        <w:ind w:firstLine="709"/>
        <w:rPr>
          <w:rFonts w:cs="Arial"/>
        </w:rPr>
      </w:pPr>
      <w:r w:rsidRPr="00CF323B">
        <w:rPr>
          <w:rFonts w:cs="Arial"/>
        </w:rPr>
        <w:lastRenderedPageBreak/>
        <w:t>Поводом проведения правовой экспертизы является внесение изменений в рассматриваемый нормативный правовой акт.</w:t>
      </w:r>
    </w:p>
    <w:p w:rsidR="00CF323B" w:rsidRPr="00CF323B" w:rsidRDefault="00CF323B" w:rsidP="00CF323B">
      <w:pPr>
        <w:ind w:firstLine="709"/>
        <w:rPr>
          <w:rFonts w:cs="Arial"/>
        </w:rPr>
      </w:pPr>
      <w:r w:rsidRPr="00CF323B">
        <w:rPr>
          <w:rFonts w:cs="Arial"/>
        </w:rPr>
        <w:t>В целях повышения качества предоставления и доступности государственной услуги, создания комфортных условий для участников отношений, возникающих при предоставлении государственной услуги, настоящим приказом утвержден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осуществлению ежегодной денежной выплаты лицам, награжденным нагрудным знаком «Почетный донор России», а также признаны утратившими силу приказ департамента социальной защиты населения, опеки и попечительства Костромской области от 05.06.2012 № 355 «Об утверждении административного регламента», пункт 23 приказа департамента социальной защиты населения, опеки и попечительства Костромской области от 01.07.2013 № 338 «О внесении изменений в отдельные приказы департамента социальной защиты населения, опеки и попечительства Костромской области».</w:t>
      </w:r>
    </w:p>
    <w:p w:rsidR="00CF323B" w:rsidRPr="00CF323B" w:rsidRDefault="00CF323B" w:rsidP="00CF323B">
      <w:pPr>
        <w:ind w:firstLine="709"/>
        <w:rPr>
          <w:rFonts w:cs="Arial"/>
        </w:rPr>
      </w:pPr>
      <w:r w:rsidRPr="00CF323B">
        <w:rPr>
          <w:rFonts w:cs="Arial"/>
        </w:rPr>
        <w:t>Таким образом, предметом правового регулирования приказа являются общественные отношения в сфере предоставления государственной услуги по осуществлению ежегодной денежной выплаты лицам, награжденным нагрудным знаком «Почетный донор России».</w:t>
      </w:r>
    </w:p>
    <w:p w:rsidR="00CF323B" w:rsidRPr="00CF323B" w:rsidRDefault="00CF323B" w:rsidP="00CF323B">
      <w:pPr>
        <w:ind w:firstLine="709"/>
        <w:rPr>
          <w:rFonts w:cs="Arial"/>
        </w:rPr>
      </w:pPr>
      <w:r w:rsidRPr="00CF323B">
        <w:rPr>
          <w:rFonts w:cs="Arial"/>
        </w:rPr>
        <w:t>В соответствии с пунктом «с» статьи 71 Конституции Российской Федерации государственные награды и почетные звания Российской Федерации находятся в ведении Российской Федерации.</w:t>
      </w:r>
    </w:p>
    <w:p w:rsidR="00CF323B" w:rsidRPr="00CF323B" w:rsidRDefault="00CF323B" w:rsidP="00CF323B">
      <w:pPr>
        <w:ind w:firstLine="709"/>
        <w:rPr>
          <w:rFonts w:cs="Arial"/>
        </w:rPr>
      </w:pPr>
      <w:r w:rsidRPr="00CF323B">
        <w:rPr>
          <w:rFonts w:cs="Arial"/>
        </w:rPr>
        <w:t>Согласно части 1 статьи 76 Конституции Российской Федерации по предметам ведения Российской Федерации принимаются федеральные конституционные законы и федеральные законы, имеющие прямое действие на всей территории Российской Федерации.</w:t>
      </w:r>
    </w:p>
    <w:p w:rsidR="00CF323B" w:rsidRPr="00CF323B" w:rsidRDefault="00CF323B" w:rsidP="00CF323B">
      <w:pPr>
        <w:ind w:firstLine="709"/>
        <w:rPr>
          <w:rFonts w:cs="Arial"/>
        </w:rPr>
      </w:pPr>
      <w:r w:rsidRPr="00CF323B">
        <w:rPr>
          <w:rFonts w:cs="Arial"/>
        </w:rPr>
        <w:t>В соответствии с пунктами «ж» и «н» части 1 статьи 72 Конституции Российской Федерации социальная защита, включая социальное обеспечение;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w:t>
      </w:r>
    </w:p>
    <w:p w:rsidR="00CF323B" w:rsidRPr="00CF323B" w:rsidRDefault="00CF323B" w:rsidP="00CF323B">
      <w:pPr>
        <w:ind w:firstLine="709"/>
        <w:rPr>
          <w:rFonts w:cs="Arial"/>
        </w:rPr>
      </w:pPr>
      <w:r w:rsidRPr="00CF323B">
        <w:rPr>
          <w:rFonts w:cs="Arial"/>
        </w:rPr>
        <w:t>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CF323B" w:rsidRPr="00CF323B" w:rsidRDefault="00CF323B" w:rsidP="00CF323B">
      <w:pPr>
        <w:ind w:firstLine="709"/>
        <w:rPr>
          <w:rFonts w:cs="Arial"/>
        </w:rPr>
      </w:pPr>
      <w:r w:rsidRPr="00CF323B">
        <w:rPr>
          <w:rFonts w:cs="Arial"/>
        </w:rPr>
        <w:t>Пунктом 4 части 1 статьи 23 Федерального закона от 20.07.2012 № 125-ФЗ «О донорстве крови и ее компонентов» определено, что одной из мер социальной поддержки лиц, награжденных нагрудным знаком «Почетный донор России», является предоставление ежегодной денежной выплаты.</w:t>
      </w:r>
    </w:p>
    <w:p w:rsidR="00CF323B" w:rsidRPr="00CF323B" w:rsidRDefault="00CF323B" w:rsidP="00CF323B">
      <w:pPr>
        <w:ind w:firstLine="709"/>
        <w:rPr>
          <w:rFonts w:cs="Arial"/>
        </w:rPr>
      </w:pPr>
      <w:r w:rsidRPr="00CF323B">
        <w:rPr>
          <w:rFonts w:cs="Arial"/>
        </w:rPr>
        <w:t>Частями 1 и 2 статьи 25 Федерального закона от 20.07.2012 № 125-ФЗ «О донорстве крови и ее компонентов» установлено, что Российская Федерация передает органам государственной власти субъектов Российской Федерации полномочие по осуществлению ежегодной денежной выплаты лицам, награжденным нагрудным знаком «Почетный донор России» (далее - переданное полномочие). Средства на осуществление переданного полномочия предусматриваются в виде субвенций из федерального бюджета.</w:t>
      </w:r>
    </w:p>
    <w:p w:rsidR="00CF323B" w:rsidRPr="00CF323B" w:rsidRDefault="00CF323B" w:rsidP="00CF323B">
      <w:pPr>
        <w:ind w:firstLine="709"/>
        <w:rPr>
          <w:rFonts w:cs="Arial"/>
        </w:rPr>
      </w:pPr>
      <w:r w:rsidRPr="00CF323B">
        <w:rPr>
          <w:rFonts w:cs="Arial"/>
        </w:rPr>
        <w:t xml:space="preserve">В силу подпункта 1 пункта 1 распоряжения губернатора Костромской области от 04.03.2013 № 132-р «Об организации деятельности по осуществлению переданного Российской Федерацией полномочия по предоставлению ежегодной денежной выплаты лицам, награжденным нагрудным знаком «Почетный донор России» департаменту социальной защиты населения, опеки и попечительства </w:t>
      </w:r>
      <w:r w:rsidRPr="00CF323B">
        <w:rPr>
          <w:rFonts w:cs="Arial"/>
        </w:rPr>
        <w:lastRenderedPageBreak/>
        <w:t>Костромской области поручено обеспечить предоставление ежегодной денежной выплаты лицам, награжденным нагрудным знаком «Почетный донор России», за счет субвенций, поступающих из федерального бюджета на реализацию полномочия, переданного Российской Федерацией по осуществлению ежегодной денежной выплаты лицам, награжденным нагрудным знаком «Почетный донор России».</w:t>
      </w:r>
    </w:p>
    <w:p w:rsidR="00CF323B" w:rsidRPr="00CF323B" w:rsidRDefault="00CF323B" w:rsidP="00CF323B">
      <w:pPr>
        <w:ind w:firstLine="709"/>
        <w:rPr>
          <w:rFonts w:cs="Arial"/>
        </w:rPr>
      </w:pPr>
      <w:r w:rsidRPr="00CF323B">
        <w:rPr>
          <w:rFonts w:cs="Arial"/>
        </w:rPr>
        <w:t>В силу части 1 статьи 12 Федерального закона от 27.07.2010 № 210-ФЗ «Об организации предоставления государственных и муниципальных услуг» предоставление государственных и муниципальных услуг осуществляется в соответствии с административными регламентами.</w:t>
      </w:r>
    </w:p>
    <w:p w:rsidR="00CF323B" w:rsidRPr="00CF323B" w:rsidRDefault="00CF323B" w:rsidP="00CF323B">
      <w:pPr>
        <w:ind w:firstLine="709"/>
        <w:rPr>
          <w:rFonts w:cs="Arial"/>
        </w:rPr>
      </w:pPr>
      <w:r w:rsidRPr="00CF323B">
        <w:rPr>
          <w:rFonts w:cs="Arial"/>
        </w:rPr>
        <w:t>Частью 14 статьи 13 Федерального закона от 27.07.2010 № 210-ФЗ «Об организации предоставления государственных и муниципальных услуг» установлено,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w:t>
      </w:r>
    </w:p>
    <w:p w:rsidR="00CF323B" w:rsidRPr="00CF323B" w:rsidRDefault="00CF323B" w:rsidP="00CF323B">
      <w:pPr>
        <w:ind w:firstLine="709"/>
        <w:rPr>
          <w:rFonts w:cs="Arial"/>
        </w:rPr>
      </w:pPr>
      <w:r w:rsidRPr="00CF323B">
        <w:rPr>
          <w:rFonts w:cs="Arial"/>
        </w:rPr>
        <w:t>Пунктом 2 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утвержденного постановлением администрации Костромской области от 11.05.2012 № 175-а, определено, что административные регламенты разрабатываются исполнительными органами государственной власти Костромской области, к сфере деятельности которых относится исполнение государственной функции, предоставление государственной услуги, в соответствии с федеральными законами, нормативными правовыми актами Президента Российской Федерации и Правительства Российской Федерации, законами и иными нормативными правовыми актами Костромской области, устанавливающими критерии, сроки и последовательность выполнения административных процедур (действий) и (или) принятия решений, а также иные требования к порядку исполнения государственных функций, предоставления государственных услуг.</w:t>
      </w:r>
    </w:p>
    <w:p w:rsidR="00CF323B" w:rsidRPr="00CF323B" w:rsidRDefault="00CF323B" w:rsidP="00CF323B">
      <w:pPr>
        <w:ind w:firstLine="709"/>
        <w:rPr>
          <w:rFonts w:cs="Arial"/>
        </w:rPr>
      </w:pPr>
      <w:r w:rsidRPr="00CF323B">
        <w:rPr>
          <w:rFonts w:cs="Arial"/>
        </w:rPr>
        <w:t>В соответствии с подпунктом 15 пункта 32.1 Положения о департаменте социальной защиты населения, опеки и попечительства Костромской области, утвержденного постановлением губернатора Костромской области от 20.12.2007 № 532 «О департаменте социальной защиты населения, опеки и попечительства Костромской области», департамент социальной защиты населения, опеки и попечительства Костромской области является уполномоченным органом по предоставлению ежегодной денежной выплаты гражданам, награжденным нагрудным знаком «Почетный донор России».</w:t>
      </w:r>
    </w:p>
    <w:p w:rsidR="00CF323B" w:rsidRPr="00CF323B" w:rsidRDefault="00CF323B" w:rsidP="00CF323B">
      <w:pPr>
        <w:ind w:firstLine="709"/>
        <w:rPr>
          <w:rFonts w:cs="Arial"/>
        </w:rPr>
      </w:pPr>
      <w:r w:rsidRPr="00CF323B">
        <w:rPr>
          <w:rFonts w:cs="Arial"/>
        </w:rPr>
        <w:t>Таким образом, данный приказ принят департаментом социальной защиты населения, опеки и попечительства Костромской области в пределах своих полномочий.</w:t>
      </w:r>
    </w:p>
    <w:p w:rsidR="00CF323B" w:rsidRPr="00CF323B" w:rsidRDefault="00CF323B" w:rsidP="00CF323B">
      <w:pPr>
        <w:ind w:firstLine="709"/>
        <w:rPr>
          <w:rFonts w:cs="Arial"/>
        </w:rPr>
      </w:pPr>
      <w:r w:rsidRPr="00CF323B">
        <w:rPr>
          <w:rFonts w:cs="Arial"/>
        </w:rPr>
        <w:t xml:space="preserve">На федеральном уровне рассматриваемые правоотношения регулируются </w:t>
      </w:r>
      <w:hyperlink r:id="rId5" w:tgtFrame="Logical" w:history="1">
        <w:r w:rsidRPr="00E5262E">
          <w:rPr>
            <w:rStyle w:val="a5"/>
            <w:rFonts w:cs="Arial"/>
            <w:bCs/>
          </w:rPr>
          <w:t>Конституцией Российской Федерации</w:t>
        </w:r>
      </w:hyperlink>
      <w:r w:rsidRPr="00CF323B">
        <w:rPr>
          <w:rFonts w:cs="Arial"/>
        </w:rPr>
        <w:t>, федеральными законами</w:t>
      </w:r>
      <w:r>
        <w:rPr>
          <w:rFonts w:cs="Arial"/>
        </w:rPr>
        <w:t xml:space="preserve"> </w:t>
      </w:r>
      <w:hyperlink r:id="rId6" w:tgtFrame="Logical" w:history="1">
        <w:r w:rsidRPr="00E5262E">
          <w:rPr>
            <w:rStyle w:val="a5"/>
            <w:rFonts w:cs="Arial"/>
            <w:bCs/>
          </w:rPr>
          <w:t>от 06.10.1999 № 184-ФЗ</w:t>
        </w:r>
      </w:hyperlink>
      <w:r w:rsidRPr="00CF323B">
        <w:rPr>
          <w:rFonts w:cs="Arial"/>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w:t>
      </w:r>
      <w:hyperlink r:id="rId7" w:tgtFrame="Logical" w:history="1">
        <w:r w:rsidRPr="00E27C32">
          <w:rPr>
            <w:rStyle w:val="a5"/>
            <w:szCs w:val="28"/>
          </w:rPr>
          <w:t>от 27</w:t>
        </w:r>
        <w:r>
          <w:rPr>
            <w:rStyle w:val="a5"/>
            <w:szCs w:val="28"/>
          </w:rPr>
          <w:t>.07.2010</w:t>
        </w:r>
        <w:r w:rsidRPr="00E27C32">
          <w:rPr>
            <w:rStyle w:val="a5"/>
            <w:szCs w:val="28"/>
          </w:rPr>
          <w:t xml:space="preserve"> № 210-ФЗ</w:t>
        </w:r>
      </w:hyperlink>
      <w:r w:rsidRPr="00CF323B">
        <w:rPr>
          <w:rFonts w:cs="Arial"/>
        </w:rPr>
        <w:t xml:space="preserve"> «Об организации предоставления государственных и муниципальных услуг», </w:t>
      </w:r>
      <w:hyperlink r:id="rId8" w:tgtFrame="Logical" w:history="1">
        <w:r w:rsidRPr="00CF323B">
          <w:rPr>
            <w:rStyle w:val="a5"/>
            <w:rFonts w:cs="Arial"/>
          </w:rPr>
          <w:t>от 20.07.2012 № 125-ФЗ</w:t>
        </w:r>
      </w:hyperlink>
      <w:r w:rsidRPr="00CF323B">
        <w:rPr>
          <w:rFonts w:cs="Arial"/>
        </w:rPr>
        <w:t xml:space="preserve"> «О донорстве крови и ее компонентов», постановлениями Правительства Российской Федерации от  26.11.2012 № 1228 «О порядке награждения доноров крови и (или) ее компонентов нагрудным знаком «Почетный донор России», </w:t>
      </w:r>
      <w:hyperlink r:id="rId9" w:tgtFrame="Logical" w:history="1">
        <w:r w:rsidRPr="00F518BB">
          <w:rPr>
            <w:rStyle w:val="a5"/>
            <w:rFonts w:cs="Arial"/>
          </w:rPr>
          <w:t>от 16.05.2011 № 373</w:t>
        </w:r>
      </w:hyperlink>
      <w:r w:rsidRPr="00CF323B">
        <w:rPr>
          <w:rFonts w:cs="Arial"/>
        </w:rPr>
        <w:t xml:space="preserve"> «О разработке и утверждении административных регламентов исполнения </w:t>
      </w:r>
      <w:r w:rsidRPr="00CF323B">
        <w:rPr>
          <w:rFonts w:cs="Arial"/>
        </w:rPr>
        <w:lastRenderedPageBreak/>
        <w:t>государственных функций и административных регламентов предоставления государственных услуг», от 09.03.2013 № 197 «О предоставлении субвенций из федерального бюджета бюджетам субъектов Российской Федерации на осуществление переданного полномочия Российской Федерации по осуществлению ежегодной денежной выплаты лицам, награжденным нагрудным знаком «Почетный донор России», приказом Министерства здравоохранения Российской Федерации от 11.07.2013 № 450н «Об утверждении Порядка осуществления ежегодной денежной выплаты лицам, награжденным нагрудным знаком «Почетный донор России».</w:t>
      </w:r>
    </w:p>
    <w:p w:rsidR="00CF323B" w:rsidRPr="00CF323B" w:rsidRDefault="00CF323B" w:rsidP="00CF323B">
      <w:pPr>
        <w:ind w:firstLine="709"/>
        <w:rPr>
          <w:rFonts w:cs="Arial"/>
        </w:rPr>
      </w:pPr>
      <w:r w:rsidRPr="00CF323B">
        <w:rPr>
          <w:rFonts w:cs="Arial"/>
        </w:rPr>
        <w:t>Признание утратившими силу приказа департамента социальной защиты населения, опеки и попечительства Костромской области от 05.06.2012 № 355 «Об утверждении административного регламента», пункта 23 приказа департамента социальной защиты населения, опеки и попечительства Костромской области от 01.07.2013 № 338 «О внесении изменений в отдельные приказы департамента социальной защиты населения, опеки и попечительства Костромской области» не приведёт к отрицательным последствиям в сфере регулируемых отношений и не создаст пробелов в законодательстве Костромской области.</w:t>
      </w:r>
    </w:p>
    <w:p w:rsidR="00CF323B" w:rsidRPr="00CF323B" w:rsidRDefault="00CF323B" w:rsidP="00CF323B">
      <w:pPr>
        <w:ind w:firstLine="709"/>
        <w:rPr>
          <w:rFonts w:cs="Arial"/>
        </w:rPr>
      </w:pPr>
      <w:r w:rsidRPr="00CF323B">
        <w:rPr>
          <w:rFonts w:cs="Arial"/>
        </w:rPr>
        <w:t>Ранее проведённая правовая экспертиза (экспертное заключение № 11619 от 04.02.2014) приказа департамента социальной защиты населения, опеки и попечительства Костромской области от 17.12.2013 № 674 «Об утверждении административного регламента предоставления департаментом социальной защиты населения, опеки и попечительства Костромской области государственной услуги по осуществлению ежегодной денежной выплаты лицам, награжденным нагрудным знаком «Почетный донор России» выявила несоответствие федеральному законодательству, правилам юридической техники, коррупциогенные факторы и недостаточность правового регулирования.</w:t>
      </w:r>
    </w:p>
    <w:p w:rsidR="00CF323B" w:rsidRPr="00CF323B" w:rsidRDefault="00CF323B" w:rsidP="00CF323B">
      <w:pPr>
        <w:ind w:firstLine="709"/>
        <w:rPr>
          <w:rFonts w:cs="Arial"/>
        </w:rPr>
      </w:pPr>
      <w:r w:rsidRPr="00CF323B">
        <w:rPr>
          <w:rFonts w:cs="Arial"/>
        </w:rPr>
        <w:t>Приказом департамента социальной защиты населения, опеки и попечительства Костромской области от 17.04.2014 № 181 «О внесении изменений в приказ департамента социальной защиты населения, опеки и попечительства Костромской области от 17.12.2013 № 674» вносятся изменения в приказ, устраняя несоответствие федеральному законодательству, правилам юридической техники, коррупциогенные факторы и недостаточность правового регулирования.</w:t>
      </w:r>
    </w:p>
    <w:p w:rsidR="00CF323B" w:rsidRPr="00CF323B" w:rsidRDefault="00CF323B" w:rsidP="00CF323B">
      <w:pPr>
        <w:ind w:firstLine="709"/>
        <w:rPr>
          <w:rFonts w:cs="Arial"/>
        </w:rPr>
      </w:pPr>
      <w:r w:rsidRPr="00CF323B">
        <w:rPr>
          <w:rFonts w:cs="Arial"/>
        </w:rPr>
        <w:t xml:space="preserve">В результате анализа содержания приказа департамента социальной защиты населения, опеки и попечительства Костромской области от 17.04.2014 № 181 «О внесении изменений в приказ департамента социальной защиты населения, опеки и попечительства Костромской области от 17.12.2013 № 674», официально опубликованного в информационно-правовом бюллетене «СП - нормативные документы» от 25.04.2014 № 17 (484), нарушений Конституции Российской Федерации и федерального законодательства не выявлено. </w:t>
      </w:r>
    </w:p>
    <w:p w:rsidR="00CF323B" w:rsidRPr="00CF323B" w:rsidRDefault="00CF323B" w:rsidP="00CF323B">
      <w:pPr>
        <w:ind w:firstLine="709"/>
        <w:rPr>
          <w:rFonts w:cs="Arial"/>
        </w:rPr>
      </w:pPr>
      <w:r w:rsidRPr="00CF323B">
        <w:rPr>
          <w:rFonts w:cs="Arial"/>
        </w:rPr>
        <w:t>Приказ является достаточным и необходимым для урегулирования правоотношений в установленной сфере.</w:t>
      </w:r>
    </w:p>
    <w:p w:rsidR="00CF323B" w:rsidRPr="00CF323B" w:rsidRDefault="00CF323B" w:rsidP="00CF323B">
      <w:pPr>
        <w:ind w:firstLine="709"/>
        <w:rPr>
          <w:rFonts w:cs="Arial"/>
        </w:rPr>
      </w:pPr>
      <w:r w:rsidRPr="00CF323B">
        <w:rPr>
          <w:rFonts w:cs="Arial"/>
        </w:rPr>
        <w:t>Порядок принятия и опубликования приказа соблюдён.</w:t>
      </w:r>
    </w:p>
    <w:p w:rsidR="00CF323B" w:rsidRPr="00CF323B" w:rsidRDefault="00CF323B" w:rsidP="00CF323B">
      <w:pPr>
        <w:ind w:firstLine="709"/>
        <w:rPr>
          <w:rFonts w:cs="Arial"/>
        </w:rPr>
      </w:pPr>
      <w:r w:rsidRPr="00CF323B">
        <w:rPr>
          <w:rFonts w:cs="Arial"/>
        </w:rPr>
        <w:t>Форма и текст приказа соответствуют правилам юридической техники.</w:t>
      </w:r>
    </w:p>
    <w:p w:rsidR="00CF323B" w:rsidRPr="00CF323B" w:rsidRDefault="00CF323B" w:rsidP="00CF323B">
      <w:pPr>
        <w:ind w:firstLine="709"/>
        <w:rPr>
          <w:rFonts w:cs="Arial"/>
        </w:rPr>
      </w:pPr>
      <w:r w:rsidRPr="00CF323B">
        <w:rPr>
          <w:rFonts w:cs="Arial"/>
        </w:rPr>
        <w:t xml:space="preserve">По результатам проведенной антикоррупционной экспертизы в соответствии с частью 3 статьи 3 Федерального закона </w:t>
      </w:r>
      <w:hyperlink r:id="rId10" w:tgtFrame="Logical" w:history="1">
        <w:r w:rsidR="000B29BD" w:rsidRPr="00BA43DA">
          <w:rPr>
            <w:rStyle w:val="a5"/>
            <w:rFonts w:cs="Arial"/>
            <w:bCs/>
          </w:rPr>
          <w:t>от 17</w:t>
        </w:r>
        <w:r w:rsidR="000B29BD">
          <w:rPr>
            <w:rStyle w:val="a5"/>
            <w:rFonts w:cs="Arial"/>
            <w:bCs/>
          </w:rPr>
          <w:t>.07.</w:t>
        </w:r>
        <w:r w:rsidR="000B29BD" w:rsidRPr="00BA43DA">
          <w:rPr>
            <w:rStyle w:val="a5"/>
            <w:rFonts w:cs="Arial"/>
            <w:bCs/>
          </w:rPr>
          <w:t>2009 № 172-ФЗ</w:t>
        </w:r>
      </w:hyperlink>
      <w:r w:rsidR="000B29BD" w:rsidRPr="00CF323B">
        <w:rPr>
          <w:rFonts w:cs="Arial"/>
        </w:rPr>
        <w:t xml:space="preserve"> </w:t>
      </w:r>
      <w:r w:rsidRPr="00CF323B">
        <w:rPr>
          <w:rFonts w:cs="Arial"/>
        </w:rPr>
        <w:t xml:space="preserve">«Об антикоррупционной экспертизе нормативных правовых актов и проектов нормативных правовых актов», </w:t>
      </w:r>
      <w:hyperlink r:id="rId11" w:tgtFrame="_self" w:history="1">
        <w:r w:rsidRPr="00CF323B">
          <w:rPr>
            <w:rFonts w:cs="Arial"/>
          </w:rPr>
          <w:t>статьей 6</w:t>
        </w:r>
      </w:hyperlink>
      <w:r w:rsidRPr="00CF323B">
        <w:rPr>
          <w:rFonts w:cs="Arial"/>
        </w:rPr>
        <w:t xml:space="preserve"> Федерального закона </w:t>
      </w:r>
      <w:hyperlink r:id="rId12" w:tgtFrame="Logical" w:history="1">
        <w:r w:rsidR="000B29BD" w:rsidRPr="00BA43DA">
          <w:rPr>
            <w:rStyle w:val="a5"/>
            <w:rFonts w:cs="Arial"/>
            <w:bCs/>
          </w:rPr>
          <w:t>от 25</w:t>
        </w:r>
        <w:r w:rsidR="000B29BD">
          <w:rPr>
            <w:rStyle w:val="a5"/>
            <w:rFonts w:cs="Arial"/>
            <w:bCs/>
          </w:rPr>
          <w:t>.12.</w:t>
        </w:r>
        <w:r w:rsidR="000B29BD" w:rsidRPr="00BA43DA">
          <w:rPr>
            <w:rStyle w:val="a5"/>
            <w:rFonts w:cs="Arial"/>
            <w:bCs/>
          </w:rPr>
          <w:t>2008 № 273-ФЗ</w:t>
        </w:r>
      </w:hyperlink>
      <w:r w:rsidRPr="00CF323B">
        <w:rPr>
          <w:rFonts w:cs="Arial"/>
        </w:rPr>
        <w:t xml:space="preserve"> «О противодействии коррупции» и </w:t>
      </w:r>
      <w:hyperlink r:id="rId13" w:tgtFrame="_self" w:history="1">
        <w:r w:rsidRPr="00CF323B">
          <w:rPr>
            <w:rFonts w:cs="Arial"/>
          </w:rPr>
          <w:t>пунктом 2</w:t>
        </w:r>
      </w:hyperlink>
      <w:r w:rsidRPr="00CF323B">
        <w:rPr>
          <w:rFonts w:cs="Arial"/>
        </w:rPr>
        <w:t xml:space="preserve"> Правил проведения антикоррупционной экспертизы нормативных правовых актов и проектов </w:t>
      </w:r>
      <w:r w:rsidRPr="00CF323B">
        <w:rPr>
          <w:rFonts w:cs="Arial"/>
        </w:rPr>
        <w:lastRenderedPageBreak/>
        <w:t xml:space="preserve">нормативных правовых актов, утвержденных постановлением Правительства Российской Федерации </w:t>
      </w:r>
      <w:r w:rsidR="000B29BD" w:rsidRPr="00AA2614">
        <w:rPr>
          <w:rFonts w:cs="Arial"/>
          <w:bCs/>
        </w:rPr>
        <w:t xml:space="preserve"> </w:t>
      </w:r>
      <w:hyperlink r:id="rId14" w:tgtFrame="Logical" w:history="1">
        <w:r w:rsidR="000B29BD" w:rsidRPr="00BA43DA">
          <w:rPr>
            <w:rStyle w:val="a5"/>
            <w:rFonts w:cs="Arial"/>
            <w:bCs/>
          </w:rPr>
          <w:t>от 26</w:t>
        </w:r>
        <w:r w:rsidR="000B29BD">
          <w:rPr>
            <w:rStyle w:val="a5"/>
            <w:rFonts w:cs="Arial"/>
            <w:bCs/>
          </w:rPr>
          <w:t>.02.</w:t>
        </w:r>
        <w:r w:rsidR="000B29BD" w:rsidRPr="00BA43DA">
          <w:rPr>
            <w:rStyle w:val="a5"/>
            <w:rFonts w:cs="Arial"/>
            <w:bCs/>
          </w:rPr>
          <w:t>2010 № 96</w:t>
        </w:r>
      </w:hyperlink>
      <w:r w:rsidRPr="00CF323B">
        <w:rPr>
          <w:rFonts w:cs="Arial"/>
        </w:rPr>
        <w:t>, выявлены коррупциогенные факторы.</w:t>
      </w:r>
    </w:p>
    <w:p w:rsidR="00CF323B" w:rsidRPr="00CF323B" w:rsidRDefault="00CF323B" w:rsidP="00CF323B">
      <w:pPr>
        <w:ind w:firstLine="709"/>
        <w:rPr>
          <w:rFonts w:eastAsia="Calibri" w:cs="Arial"/>
        </w:rPr>
      </w:pPr>
      <w:r w:rsidRPr="00CF323B">
        <w:rPr>
          <w:rFonts w:cs="Arial"/>
        </w:rPr>
        <w:t xml:space="preserve">1. В пункте 16 административного регламента предоставления департаментом социальной защиты населения, опеки и попечительства Костромской области государственной услуги по осуществлению ежегодной денежной выплаты лицам, награжденным нагрудным знаком «Почетный донор России» (далее – Административный регламент), утверждённого приказом, предусмотрено, что в </w:t>
      </w:r>
      <w:r w:rsidRPr="00CF323B">
        <w:rPr>
          <w:rFonts w:cs="Arial"/>
          <w:u w:val="single"/>
        </w:rPr>
        <w:t>случае необходимости (по усмотрению руководства уполномоченного органа)</w:t>
      </w:r>
      <w:r w:rsidRPr="00CF323B">
        <w:rPr>
          <w:rFonts w:cs="Arial"/>
        </w:rPr>
        <w:t xml:space="preserve"> гражданам должна быть предоставлена возможность предварительной записи. Употребление в пункте 16 Административного регламента слов «(</w:t>
      </w:r>
      <w:r w:rsidRPr="00CF323B">
        <w:rPr>
          <w:rFonts w:cs="Arial"/>
          <w:u w:val="single"/>
        </w:rPr>
        <w:t>по усмотрению руководства уполномоченного органа)</w:t>
      </w:r>
      <w:r w:rsidRPr="00CF323B">
        <w:rPr>
          <w:rFonts w:cs="Arial"/>
        </w:rPr>
        <w:t xml:space="preserve">» создаёт </w:t>
      </w:r>
      <w:r w:rsidRPr="00CF323B">
        <w:rPr>
          <w:rFonts w:eastAsia="Calibri" w:cs="Arial"/>
        </w:rPr>
        <w:t xml:space="preserve">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(их должностных лиц), что является </w:t>
      </w:r>
      <w:r w:rsidRPr="00CF323B">
        <w:rPr>
          <w:rFonts w:cs="Arial"/>
        </w:rPr>
        <w:t xml:space="preserve">коррупциогенным фактором, состоящем в </w:t>
      </w:r>
      <w:r w:rsidRPr="00CF323B">
        <w:rPr>
          <w:rFonts w:eastAsia="Calibri" w:cs="Arial"/>
        </w:rPr>
        <w:t>выборочном изменении объема прав граждан (</w:t>
      </w:r>
      <w:r w:rsidRPr="00CF323B">
        <w:rPr>
          <w:rFonts w:cs="Arial"/>
        </w:rPr>
        <w:t>подпункт «в»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r w:rsidRPr="00CF323B">
        <w:rPr>
          <w:rFonts w:eastAsia="Calibri" w:cs="Arial"/>
        </w:rPr>
        <w:t>).</w:t>
      </w:r>
    </w:p>
    <w:p w:rsidR="00CF323B" w:rsidRPr="00CF323B" w:rsidRDefault="00CF323B" w:rsidP="00CF323B">
      <w:pPr>
        <w:autoSpaceDE w:val="0"/>
        <w:autoSpaceDN w:val="0"/>
        <w:adjustRightInd w:val="0"/>
        <w:ind w:firstLine="709"/>
        <w:rPr>
          <w:rFonts w:cs="Arial"/>
        </w:rPr>
      </w:pPr>
      <w:r w:rsidRPr="00CF323B">
        <w:rPr>
          <w:rFonts w:cs="Arial"/>
        </w:rPr>
        <w:t>В целях устранения выявленного коррупциогенного фактора необходимо в пункте 16 Административного регламента исключить слова «(</w:t>
      </w:r>
      <w:r w:rsidRPr="00CF323B">
        <w:rPr>
          <w:rFonts w:cs="Arial"/>
          <w:u w:val="single"/>
        </w:rPr>
        <w:t>по усмотрению руководства уполномоченного органа</w:t>
      </w:r>
      <w:r w:rsidRPr="00CF323B">
        <w:rPr>
          <w:rFonts w:cs="Arial"/>
        </w:rPr>
        <w:t>)».</w:t>
      </w:r>
    </w:p>
    <w:p w:rsidR="00CF323B" w:rsidRPr="00CF323B" w:rsidRDefault="00CF323B" w:rsidP="00CF323B">
      <w:pPr>
        <w:autoSpaceDE w:val="0"/>
        <w:autoSpaceDN w:val="0"/>
        <w:adjustRightInd w:val="0"/>
        <w:ind w:firstLine="709"/>
        <w:rPr>
          <w:rFonts w:cs="Arial"/>
        </w:rPr>
      </w:pPr>
      <w:r w:rsidRPr="00CF323B">
        <w:rPr>
          <w:rFonts w:cs="Arial"/>
        </w:rPr>
        <w:t xml:space="preserve">2. Использование слов «в случае необходимости» в пункте 16 Административного регламента следует рассматривать в качестве коррупциогенного фактора, состоящего в </w:t>
      </w:r>
      <w:r w:rsidRPr="00CF323B">
        <w:rPr>
          <w:rFonts w:eastAsia="Calibri" w:cs="Arial"/>
        </w:rPr>
        <w:t>употребление неустоявшихся, двусмысленных терминов и категорий оценочного характера (</w:t>
      </w:r>
      <w:r w:rsidRPr="00CF323B">
        <w:rPr>
          <w:rFonts w:cs="Arial"/>
        </w:rPr>
        <w:t>подпункт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CF323B" w:rsidRPr="00CF323B" w:rsidRDefault="00CF323B" w:rsidP="00CF323B">
      <w:pPr>
        <w:autoSpaceDE w:val="0"/>
        <w:autoSpaceDN w:val="0"/>
        <w:adjustRightInd w:val="0"/>
        <w:ind w:firstLine="709"/>
        <w:rPr>
          <w:rFonts w:cs="Arial"/>
        </w:rPr>
      </w:pPr>
      <w:r w:rsidRPr="00CF323B">
        <w:rPr>
          <w:rFonts w:cs="Arial"/>
        </w:rPr>
        <w:t>В целях устранения выявленного коррупциогенного фактора необходимо пункте 16 Административного регламента исключить слова «в случае необходимости».</w:t>
      </w:r>
    </w:p>
    <w:p w:rsidR="00CF323B" w:rsidRPr="00CF323B" w:rsidRDefault="00CF323B" w:rsidP="00CF323B">
      <w:pPr>
        <w:ind w:firstLine="709"/>
        <w:rPr>
          <w:rFonts w:cs="Arial"/>
        </w:rPr>
      </w:pPr>
      <w:r w:rsidRPr="00CF323B">
        <w:rPr>
          <w:rFonts w:cs="Arial"/>
        </w:rPr>
        <w:t>Правовая экспертиза приказа показала, что данный нормативный правовой акт не соответствует Конституции Российской Федерации и федеральному законодательству.</w:t>
      </w:r>
    </w:p>
    <w:p w:rsidR="00CF323B" w:rsidRPr="00CF323B" w:rsidRDefault="00CF323B" w:rsidP="00CF323B">
      <w:pPr>
        <w:ind w:firstLine="709"/>
        <w:rPr>
          <w:rFonts w:cs="Arial"/>
        </w:rPr>
      </w:pPr>
      <w:r w:rsidRPr="00CF323B">
        <w:rPr>
          <w:rFonts w:cs="Arial"/>
        </w:rPr>
        <w:t>Частью 2 статьи 19 Конституции Российской Федерации определено, что 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w:t>
      </w:r>
    </w:p>
    <w:p w:rsidR="00CF323B" w:rsidRPr="00CF323B" w:rsidRDefault="00CF323B" w:rsidP="00CF323B">
      <w:pPr>
        <w:ind w:firstLine="709"/>
        <w:rPr>
          <w:rFonts w:cs="Arial"/>
        </w:rPr>
      </w:pPr>
      <w:r w:rsidRPr="00CF323B">
        <w:rPr>
          <w:rFonts w:cs="Arial"/>
        </w:rPr>
        <w:t xml:space="preserve">Согласно </w:t>
      </w:r>
      <w:hyperlink r:id="rId15" w:history="1">
        <w:r w:rsidRPr="00CF323B">
          <w:rPr>
            <w:rFonts w:cs="Arial"/>
          </w:rPr>
          <w:t>пункту 4 статьи 2</w:t>
        </w:r>
      </w:hyperlink>
      <w:r w:rsidRPr="00CF323B">
        <w:rPr>
          <w:rFonts w:cs="Arial"/>
        </w:rPr>
        <w:t xml:space="preserve"> Федерального закона от 27.07.2010 № 210-ФЗ «Об организации предоставления государственных и муниципальных услуг» административный регламент - нормативный правовой акт, устанавливающий порядок предоставления государственной услуги и стандарт предоставления государственной услуги.</w:t>
      </w:r>
    </w:p>
    <w:p w:rsidR="00CF323B" w:rsidRPr="00CF323B" w:rsidRDefault="00E55E82" w:rsidP="00CF323B">
      <w:pPr>
        <w:ind w:firstLine="709"/>
        <w:rPr>
          <w:rFonts w:cs="Arial"/>
        </w:rPr>
      </w:pPr>
      <w:hyperlink r:id="rId16" w:history="1">
        <w:r w:rsidR="00CF323B" w:rsidRPr="00CF323B">
          <w:rPr>
            <w:rFonts w:cs="Arial"/>
          </w:rPr>
          <w:t>Пунктами 1</w:t>
        </w:r>
      </w:hyperlink>
      <w:r w:rsidR="00CF323B" w:rsidRPr="00CF323B">
        <w:rPr>
          <w:rFonts w:cs="Arial"/>
        </w:rPr>
        <w:t xml:space="preserve"> и </w:t>
      </w:r>
      <w:hyperlink r:id="rId17" w:history="1">
        <w:r w:rsidR="00CF323B" w:rsidRPr="00CF323B">
          <w:rPr>
            <w:rFonts w:cs="Arial"/>
          </w:rPr>
          <w:t xml:space="preserve">2 статьи 5 </w:t>
        </w:r>
      </w:hyperlink>
      <w:r w:rsidR="00CF323B" w:rsidRPr="00CF323B">
        <w:rPr>
          <w:rFonts w:cs="Arial"/>
        </w:rPr>
        <w:t xml:space="preserve">Федерального закона от 27.07.2010 № 210-ФЗ «Об организации предоставления государственных и муниципальных услуг» гарантированы права заявителей на получение государственной или муниципальной услуги своевременно и в соответствии со стандартом </w:t>
      </w:r>
      <w:r w:rsidR="00CF323B" w:rsidRPr="00CF323B">
        <w:rPr>
          <w:rFonts w:cs="Arial"/>
        </w:rPr>
        <w:lastRenderedPageBreak/>
        <w:t>предоставления государственной или муниципальной услуги, получение полной, актуальной и достоверной информации о порядке предоставления государственных и муниципальных услуг, в том числе в электронной форме.</w:t>
      </w:r>
    </w:p>
    <w:p w:rsidR="00CF323B" w:rsidRPr="00CF323B" w:rsidRDefault="00CF323B" w:rsidP="00CF323B">
      <w:pPr>
        <w:ind w:firstLine="709"/>
        <w:rPr>
          <w:rFonts w:cs="Arial"/>
        </w:rPr>
      </w:pPr>
      <w:r w:rsidRPr="00CF323B">
        <w:rPr>
          <w:rFonts w:cs="Arial"/>
        </w:rPr>
        <w:t xml:space="preserve">Согласно </w:t>
      </w:r>
      <w:hyperlink r:id="rId18" w:history="1">
        <w:r w:rsidRPr="00CF323B">
          <w:rPr>
            <w:rFonts w:cs="Arial"/>
          </w:rPr>
          <w:t>пункту 1 части 1 статьи 6</w:t>
        </w:r>
      </w:hyperlink>
      <w:r w:rsidRPr="00CF323B">
        <w:rPr>
          <w:rFonts w:cs="Arial"/>
        </w:rPr>
        <w:t xml:space="preserve"> Федерального закона от 27.07.2010 </w:t>
      </w:r>
      <w:r w:rsidRPr="00CF323B">
        <w:rPr>
          <w:rFonts w:cs="Arial"/>
        </w:rPr>
        <w:br/>
        <w:t>№ 210-ФЗ «Об организации предоставления государственных и муниципальных услуг» органы, предоставляющие государственные услуги, и органы, предоставляющие муниципальные услуги, обязаны предоставлять государственные и муниципальные услуги в соответствии с административными регламентами.</w:t>
      </w:r>
    </w:p>
    <w:p w:rsidR="00CF323B" w:rsidRPr="00CF323B" w:rsidRDefault="00CF323B" w:rsidP="00CF323B">
      <w:pPr>
        <w:ind w:firstLine="709"/>
        <w:rPr>
          <w:rFonts w:cs="Arial"/>
        </w:rPr>
      </w:pPr>
      <w:r w:rsidRPr="00CF323B">
        <w:rPr>
          <w:rFonts w:cs="Arial"/>
        </w:rPr>
        <w:t xml:space="preserve">В целях соблюдения прав заявителей, соблюдения предусмотренного </w:t>
      </w:r>
      <w:hyperlink r:id="rId19" w:history="1">
        <w:r w:rsidRPr="00CF323B">
          <w:rPr>
            <w:rFonts w:cs="Arial"/>
          </w:rPr>
          <w:t>пунктом 4 статьи 4</w:t>
        </w:r>
      </w:hyperlink>
      <w:r w:rsidRPr="00CF323B">
        <w:rPr>
          <w:rFonts w:cs="Arial"/>
        </w:rPr>
        <w:t xml:space="preserve"> Федерального закона от 27.07.2010 № 210-ФЗ «Об организации предоставления государственных и муниципальных услуг» принципа открытости деятельности органов, предоставляющих государственные услуги, административный регламент должен полно и достоверно отражать процедуру предоставления государственной услуги, соответствовать требованиям законодательства.</w:t>
      </w:r>
    </w:p>
    <w:p w:rsidR="00CF323B" w:rsidRPr="00CF323B" w:rsidRDefault="00CF323B" w:rsidP="00CF323B">
      <w:pPr>
        <w:ind w:firstLine="709"/>
        <w:rPr>
          <w:rFonts w:cs="Arial"/>
        </w:rPr>
      </w:pPr>
      <w:r w:rsidRPr="00CF323B">
        <w:rPr>
          <w:rFonts w:cs="Arial"/>
        </w:rPr>
        <w:t xml:space="preserve">В пункте 16 Административного регламента предусмотрено, что в </w:t>
      </w:r>
      <w:r w:rsidRPr="00CF323B">
        <w:rPr>
          <w:rFonts w:cs="Arial"/>
          <w:u w:val="single"/>
        </w:rPr>
        <w:t>случае необходимости (по усмотрению руководства уполномоченного органа)</w:t>
      </w:r>
      <w:r w:rsidRPr="00CF323B">
        <w:rPr>
          <w:rFonts w:cs="Arial"/>
        </w:rPr>
        <w:t xml:space="preserve"> гражданам должна быть предоставлена возможность предварительной записи.</w:t>
      </w:r>
    </w:p>
    <w:p w:rsidR="00CF323B" w:rsidRPr="00CF323B" w:rsidRDefault="00CF323B" w:rsidP="00CF323B">
      <w:pPr>
        <w:ind w:firstLine="709"/>
        <w:rPr>
          <w:rFonts w:cs="Arial"/>
        </w:rPr>
      </w:pPr>
      <w:r w:rsidRPr="00CF323B">
        <w:rPr>
          <w:rFonts w:cs="Arial"/>
        </w:rPr>
        <w:t xml:space="preserve">Положения пункта 16 Административного регламента, в части употребления слов «в </w:t>
      </w:r>
      <w:r w:rsidRPr="00CF323B">
        <w:rPr>
          <w:rFonts w:cs="Arial"/>
          <w:u w:val="single"/>
        </w:rPr>
        <w:t>случае необходимости (по усмотрению руководства уполномоченного органа)</w:t>
      </w:r>
      <w:r w:rsidRPr="00CF323B">
        <w:rPr>
          <w:rFonts w:cs="Arial"/>
        </w:rPr>
        <w:t xml:space="preserve">», не соответствуют </w:t>
      </w:r>
      <w:hyperlink r:id="rId20" w:history="1">
        <w:r w:rsidRPr="00CF323B">
          <w:rPr>
            <w:rFonts w:cs="Arial"/>
          </w:rPr>
          <w:t>пункту 4 статьи 4</w:t>
        </w:r>
      </w:hyperlink>
      <w:r w:rsidRPr="00CF323B">
        <w:rPr>
          <w:rFonts w:cs="Arial"/>
        </w:rPr>
        <w:t>, пунктам 1 и 2 статьи 5 Федерального закона от 27.07.2010 № 210-ФЗ «Об организации предоставления государственных и муниципальных услуг».</w:t>
      </w:r>
    </w:p>
    <w:p w:rsidR="00CF323B" w:rsidRPr="00CF323B" w:rsidRDefault="00CF323B" w:rsidP="00CF323B">
      <w:pPr>
        <w:autoSpaceDE w:val="0"/>
        <w:autoSpaceDN w:val="0"/>
        <w:adjustRightInd w:val="0"/>
        <w:ind w:firstLine="709"/>
        <w:rPr>
          <w:rFonts w:cs="Arial"/>
        </w:rPr>
      </w:pPr>
      <w:r w:rsidRPr="00CF323B">
        <w:rPr>
          <w:rFonts w:cs="Arial"/>
        </w:rPr>
        <w:t>Предлагаем привести указанные положения Административного регламента, утвержденного приказом департамента социальной защиты населения, опеки и попечительства Костромской области от 17.12.2013 № 674 «Об утверждении административного регламента предоставления департаментом социальной защиты населения, опеки и попечительства Костромской области государственной услуги по осуществлению ежегодной денежной выплаты лицам, награжденным нагрудным знаком «Почетный донор России» (в редакции приказа департамента социальной защиты населения, опеки и попечительства Костромской области от 17.04.2014 № 181), в соответствие с Конституцией Российской Федерации, федеральным законодательством; устранить выявленные коррупциогенные факторы.</w:t>
      </w:r>
    </w:p>
    <w:p w:rsidR="00CF323B" w:rsidRPr="00CF323B" w:rsidRDefault="00CF323B" w:rsidP="00CF323B">
      <w:pPr>
        <w:ind w:firstLine="709"/>
        <w:rPr>
          <w:rFonts w:cs="Arial"/>
        </w:rPr>
      </w:pPr>
      <w:r w:rsidRPr="00CF323B">
        <w:rPr>
          <w:rFonts w:cs="Arial"/>
        </w:rPr>
        <w:t>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w:t>
      </w:r>
    </w:p>
    <w:p w:rsidR="00CF323B" w:rsidRPr="00CF323B" w:rsidRDefault="00CF323B" w:rsidP="00CF323B">
      <w:pPr>
        <w:ind w:firstLine="709"/>
        <w:rPr>
          <w:rFonts w:cs="Arial"/>
        </w:rPr>
      </w:pPr>
    </w:p>
    <w:p w:rsidR="00CF323B" w:rsidRPr="00CF323B" w:rsidRDefault="00CF323B" w:rsidP="00CF323B">
      <w:pPr>
        <w:rPr>
          <w:rFonts w:cs="Arial"/>
        </w:rPr>
      </w:pPr>
    </w:p>
    <w:p w:rsidR="00CF323B" w:rsidRPr="00CF323B" w:rsidRDefault="00CF323B" w:rsidP="00CF323B">
      <w:pPr>
        <w:rPr>
          <w:rFonts w:cs="Arial"/>
        </w:rPr>
      </w:pPr>
      <w:r w:rsidRPr="00CF323B">
        <w:rPr>
          <w:rFonts w:cs="Arial"/>
        </w:rPr>
        <w:t>Начальник                                                                             Л.О. Докторов</w:t>
      </w:r>
    </w:p>
    <w:p w:rsidR="00CF323B" w:rsidRPr="00CF323B" w:rsidRDefault="00CF323B" w:rsidP="00CF323B">
      <w:pPr>
        <w:rPr>
          <w:rFonts w:cs="Arial"/>
        </w:rPr>
      </w:pPr>
    </w:p>
    <w:p w:rsidR="00CF323B" w:rsidRPr="00CF323B" w:rsidRDefault="00CF323B" w:rsidP="00CF323B">
      <w:pPr>
        <w:rPr>
          <w:rFonts w:cs="Arial"/>
        </w:rPr>
      </w:pPr>
    </w:p>
    <w:p w:rsidR="00CF323B" w:rsidRPr="00CF323B" w:rsidRDefault="00CF323B" w:rsidP="00CF323B">
      <w:pPr>
        <w:rPr>
          <w:rFonts w:cs="Arial"/>
        </w:rPr>
      </w:pPr>
      <w:r w:rsidRPr="00CF323B">
        <w:rPr>
          <w:rFonts w:cs="Arial"/>
        </w:rPr>
        <w:t xml:space="preserve">Н. В. Блинова </w:t>
      </w:r>
    </w:p>
    <w:p w:rsidR="00CF323B" w:rsidRPr="00CF323B" w:rsidRDefault="00CF323B" w:rsidP="00CF323B">
      <w:pPr>
        <w:rPr>
          <w:rFonts w:cs="Arial"/>
        </w:rPr>
      </w:pPr>
      <w:r w:rsidRPr="00CF323B">
        <w:rPr>
          <w:rFonts w:cs="Arial"/>
        </w:rPr>
        <w:t>47-03-14</w:t>
      </w:r>
    </w:p>
    <w:sectPr w:rsidR="00CF323B" w:rsidRPr="00CF323B" w:rsidSect="00CA79B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04D5"/>
    <w:rsid w:val="000B29BD"/>
    <w:rsid w:val="000D4BDE"/>
    <w:rsid w:val="000F2FE7"/>
    <w:rsid w:val="0013204F"/>
    <w:rsid w:val="0032284B"/>
    <w:rsid w:val="005017E6"/>
    <w:rsid w:val="0057531D"/>
    <w:rsid w:val="005C04D5"/>
    <w:rsid w:val="005C54DA"/>
    <w:rsid w:val="00704D15"/>
    <w:rsid w:val="0090615B"/>
    <w:rsid w:val="00927111"/>
    <w:rsid w:val="009673EF"/>
    <w:rsid w:val="00977B5E"/>
    <w:rsid w:val="009E1D22"/>
    <w:rsid w:val="00A53073"/>
    <w:rsid w:val="00A6141B"/>
    <w:rsid w:val="00AF3FE9"/>
    <w:rsid w:val="00B35D16"/>
    <w:rsid w:val="00BC0051"/>
    <w:rsid w:val="00C11416"/>
    <w:rsid w:val="00C33F8C"/>
    <w:rsid w:val="00CA79B2"/>
    <w:rsid w:val="00CB3B8E"/>
    <w:rsid w:val="00CE29D4"/>
    <w:rsid w:val="00CF323B"/>
    <w:rsid w:val="00E43647"/>
    <w:rsid w:val="00E55E82"/>
    <w:rsid w:val="00E84383"/>
    <w:rsid w:val="00F235E8"/>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57531D"/>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57531D"/>
    <w:pPr>
      <w:jc w:val="center"/>
      <w:outlineLvl w:val="0"/>
    </w:pPr>
    <w:rPr>
      <w:rFonts w:cs="Arial"/>
      <w:b/>
      <w:bCs/>
      <w:kern w:val="32"/>
      <w:sz w:val="32"/>
      <w:szCs w:val="32"/>
    </w:rPr>
  </w:style>
  <w:style w:type="paragraph" w:styleId="2">
    <w:name w:val="heading 2"/>
    <w:aliases w:val="!Разделы документа"/>
    <w:basedOn w:val="a"/>
    <w:link w:val="20"/>
    <w:qFormat/>
    <w:rsid w:val="0057531D"/>
    <w:pPr>
      <w:jc w:val="center"/>
      <w:outlineLvl w:val="1"/>
    </w:pPr>
    <w:rPr>
      <w:rFonts w:cs="Arial"/>
      <w:b/>
      <w:bCs/>
      <w:iCs/>
      <w:sz w:val="30"/>
      <w:szCs w:val="28"/>
    </w:rPr>
  </w:style>
  <w:style w:type="paragraph" w:styleId="3">
    <w:name w:val="heading 3"/>
    <w:aliases w:val="!Главы документа"/>
    <w:basedOn w:val="a"/>
    <w:link w:val="30"/>
    <w:qFormat/>
    <w:rsid w:val="0057531D"/>
    <w:pPr>
      <w:outlineLvl w:val="2"/>
    </w:pPr>
    <w:rPr>
      <w:rFonts w:cs="Arial"/>
      <w:b/>
      <w:bCs/>
      <w:sz w:val="28"/>
      <w:szCs w:val="26"/>
    </w:rPr>
  </w:style>
  <w:style w:type="paragraph" w:styleId="4">
    <w:name w:val="heading 4"/>
    <w:aliases w:val="!Параграфы/Статьи документа"/>
    <w:basedOn w:val="a"/>
    <w:link w:val="40"/>
    <w:qFormat/>
    <w:rsid w:val="0057531D"/>
    <w:pPr>
      <w:outlineLvl w:val="3"/>
    </w:pPr>
    <w:rPr>
      <w:b/>
      <w:bCs/>
      <w:sz w:val="26"/>
      <w:szCs w:val="28"/>
    </w:rPr>
  </w:style>
  <w:style w:type="character" w:default="1" w:styleId="a0">
    <w:name w:val="Default Paragraph Font"/>
    <w:semiHidden/>
    <w:rsid w:val="0057531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57531D"/>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aliases w:val="!Части документа Знак"/>
    <w:basedOn w:val="a0"/>
    <w:link w:val="1"/>
    <w:rsid w:val="00CF323B"/>
    <w:rPr>
      <w:rFonts w:ascii="Arial" w:eastAsia="Times New Roman" w:hAnsi="Arial" w:cs="Arial"/>
      <w:b/>
      <w:bCs/>
      <w:kern w:val="32"/>
      <w:sz w:val="32"/>
      <w:szCs w:val="32"/>
    </w:rPr>
  </w:style>
  <w:style w:type="character" w:customStyle="1" w:styleId="20">
    <w:name w:val="Заголовок 2 Знак"/>
    <w:aliases w:val="!Разделы документа Знак"/>
    <w:basedOn w:val="a0"/>
    <w:link w:val="2"/>
    <w:rsid w:val="00CF323B"/>
    <w:rPr>
      <w:rFonts w:ascii="Arial" w:eastAsia="Times New Roman" w:hAnsi="Arial" w:cs="Arial"/>
      <w:b/>
      <w:bCs/>
      <w:iCs/>
      <w:sz w:val="30"/>
      <w:szCs w:val="28"/>
    </w:rPr>
  </w:style>
  <w:style w:type="character" w:customStyle="1" w:styleId="30">
    <w:name w:val="Заголовок 3 Знак"/>
    <w:aliases w:val="!Главы документа Знак"/>
    <w:basedOn w:val="a0"/>
    <w:link w:val="3"/>
    <w:rsid w:val="00CF323B"/>
    <w:rPr>
      <w:rFonts w:ascii="Arial" w:eastAsia="Times New Roman" w:hAnsi="Arial" w:cs="Arial"/>
      <w:b/>
      <w:bCs/>
      <w:sz w:val="28"/>
      <w:szCs w:val="26"/>
    </w:rPr>
  </w:style>
  <w:style w:type="character" w:customStyle="1" w:styleId="40">
    <w:name w:val="Заголовок 4 Знак"/>
    <w:aliases w:val="!Параграфы/Статьи документа Знак"/>
    <w:basedOn w:val="a0"/>
    <w:link w:val="4"/>
    <w:rsid w:val="00CF323B"/>
    <w:rPr>
      <w:rFonts w:ascii="Arial" w:eastAsia="Times New Roman" w:hAnsi="Arial"/>
      <w:b/>
      <w:bCs/>
      <w:sz w:val="26"/>
      <w:szCs w:val="28"/>
    </w:rPr>
  </w:style>
  <w:style w:type="character" w:styleId="HTML">
    <w:name w:val="HTML Variable"/>
    <w:aliases w:val="!Ссылки в документе"/>
    <w:basedOn w:val="a0"/>
    <w:rsid w:val="0057531D"/>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57531D"/>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CF323B"/>
    <w:rPr>
      <w:rFonts w:ascii="Courier" w:eastAsia="Times New Roman" w:hAnsi="Courier"/>
      <w:sz w:val="22"/>
    </w:rPr>
  </w:style>
  <w:style w:type="paragraph" w:customStyle="1" w:styleId="Title">
    <w:name w:val="Title!Название НПА"/>
    <w:basedOn w:val="a"/>
    <w:rsid w:val="0057531D"/>
    <w:pPr>
      <w:spacing w:before="240" w:after="60"/>
      <w:jc w:val="center"/>
      <w:outlineLvl w:val="0"/>
    </w:pPr>
    <w:rPr>
      <w:rFonts w:cs="Arial"/>
      <w:b/>
      <w:bCs/>
      <w:kern w:val="28"/>
      <w:sz w:val="32"/>
      <w:szCs w:val="32"/>
    </w:rPr>
  </w:style>
  <w:style w:type="character" w:styleId="a5">
    <w:name w:val="Hyperlink"/>
    <w:basedOn w:val="a0"/>
    <w:rsid w:val="0057531D"/>
    <w:rPr>
      <w:color w:val="0000FF"/>
      <w:u w:val="none"/>
    </w:rPr>
  </w:style>
  <w:style w:type="paragraph" w:customStyle="1" w:styleId="Application">
    <w:name w:val="Application!Приложение"/>
    <w:rsid w:val="0057531D"/>
    <w:pPr>
      <w:spacing w:before="120" w:after="120"/>
      <w:jc w:val="right"/>
    </w:pPr>
    <w:rPr>
      <w:rFonts w:ascii="Arial" w:eastAsia="Times New Roman" w:hAnsi="Arial" w:cs="Arial"/>
      <w:b/>
      <w:bCs/>
      <w:kern w:val="28"/>
      <w:sz w:val="32"/>
      <w:szCs w:val="32"/>
    </w:rPr>
  </w:style>
  <w:style w:type="paragraph" w:customStyle="1" w:styleId="Table">
    <w:name w:val="Table!Таблица"/>
    <w:rsid w:val="0057531D"/>
    <w:rPr>
      <w:rFonts w:ascii="Arial" w:eastAsia="Times New Roman" w:hAnsi="Arial" w:cs="Arial"/>
      <w:bCs/>
      <w:kern w:val="28"/>
      <w:sz w:val="24"/>
      <w:szCs w:val="32"/>
    </w:rPr>
  </w:style>
  <w:style w:type="paragraph" w:customStyle="1" w:styleId="Table0">
    <w:name w:val="Table!"/>
    <w:next w:val="Table"/>
    <w:rsid w:val="0057531D"/>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57531D"/>
    <w:pPr>
      <w:jc w:val="center"/>
    </w:pPr>
    <w:rPr>
      <w:rFonts w:ascii="Arial" w:eastAsia="Times New Roman" w:hAnsi="Arial" w:cs="Arial"/>
      <w:bCs/>
      <w:kern w:val="28"/>
      <w:sz w:val="24"/>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tent/act/16743dc3-bcb4-4d1c-b567-b34b14ed6aa4.html" TargetMode="External"/><Relationship Id="rId13" Type="http://schemas.openxmlformats.org/officeDocument/2006/relationships/hyperlink" Target="consultantplus://offline/ref=1DB6E4DE249738A02CA0C7ED845DEC362CE477B8085F3C5509D8A3C75D835CF447AD85554C2CD3E4OAB8H" TargetMode="External"/><Relationship Id="rId18" Type="http://schemas.openxmlformats.org/officeDocument/2006/relationships/hyperlink" Target="consultantplus://offline/ref=AC7B6018C16C4663144BF375E2526787A0C4BD774CDE5CD65E41FBDC14151A9BB323A056rCa6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C:\Documents%20and%20Settings\&#1045;&#1083;&#1077;&#1085;&#1072;\Application%20Data\Microsoft\content\act\bba0bfb1-06c7-4e50-a8d3-fe1045784bf1.html" TargetMode="External"/><Relationship Id="rId12" Type="http://schemas.openxmlformats.org/officeDocument/2006/relationships/hyperlink" Target="/content/act/9aa48369-618a-4bb4-b4b8-ae15f2b7ebf6.html" TargetMode="External"/><Relationship Id="rId17" Type="http://schemas.openxmlformats.org/officeDocument/2006/relationships/hyperlink" Target="consultantplus://offline/ref=AC7B6018C16C4663144BF375E2526787A0C4BD774CDE5CD65E41FBDC14151A9BB323A055C101AEAFrCa4I" TargetMode="External"/><Relationship Id="rId2" Type="http://schemas.openxmlformats.org/officeDocument/2006/relationships/styles" Target="styles.xml"/><Relationship Id="rId16" Type="http://schemas.openxmlformats.org/officeDocument/2006/relationships/hyperlink" Target="consultantplus://offline/ref=AC7B6018C16C4663144BF375E2526787A0C4BD774CDE5CD65E41FBDC14151A9BB323A055C101AEAFrCa5I" TargetMode="External"/><Relationship Id="rId20" Type="http://schemas.openxmlformats.org/officeDocument/2006/relationships/hyperlink" Target="consultantplus://offline/ref=AC7B6018C16C4663144BF375E2526787A0C4BD774CDE5CD65E41FBDC14151A9BB323A055C101AEAErCa8I" TargetMode="External"/><Relationship Id="rId1" Type="http://schemas.openxmlformats.org/officeDocument/2006/relationships/customXml" Target="../customXml/item1.xml"/><Relationship Id="rId6" Type="http://schemas.openxmlformats.org/officeDocument/2006/relationships/hyperlink" Target="/content/act/5724afaa-4194-470c-8df3-8737d9c801c7.html" TargetMode="External"/><Relationship Id="rId11" Type="http://schemas.openxmlformats.org/officeDocument/2006/relationships/hyperlink" Target="consultantplus://offline/ref=1DB6E4DE249738A02CA0C7ED845DEC362CE378BE0B583C5509D8A3C75D835CF447AD85554C2CD3E1OABAH" TargetMode="External"/><Relationship Id="rId5" Type="http://schemas.openxmlformats.org/officeDocument/2006/relationships/hyperlink" Target="/content/act/15d4560c-d530-4955-bf7e-f734337ae80b.html" TargetMode="External"/><Relationship Id="rId15" Type="http://schemas.openxmlformats.org/officeDocument/2006/relationships/hyperlink" Target="consultantplus://offline/ref=AC7B6018C16C4663144BF375E2526787A0C4BD774CDE5CD65E41FBDC14151A9BB323A055C101AEADrCa9I" TargetMode="External"/><Relationship Id="rId10" Type="http://schemas.openxmlformats.org/officeDocument/2006/relationships/hyperlink" Target="/content/act/91e7be06-9a84-4cff-931d-1df8bc2444aa.html" TargetMode="External"/><Relationship Id="rId19" Type="http://schemas.openxmlformats.org/officeDocument/2006/relationships/hyperlink" Target="consultantplus://offline/ref=AC7B6018C16C4663144BF375E2526787A0C4BD774CDE5CD65E41FBDC14151A9BB323A055C101AEAErCa8I" TargetMode="External"/><Relationship Id="rId4" Type="http://schemas.openxmlformats.org/officeDocument/2006/relationships/webSettings" Target="webSettings.xml"/><Relationship Id="rId9" Type="http://schemas.openxmlformats.org/officeDocument/2006/relationships/hyperlink" Target="/content/act/fed49afd-6e60-415b-b3c3-bb1718dafef7.html" TargetMode="External"/><Relationship Id="rId14" Type="http://schemas.openxmlformats.org/officeDocument/2006/relationships/hyperlink" Target="/content/act/07120b89-d89e-494f-8db9-61ba2013cc22.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4A9210-3023-4202-9EA0-BC6D8BFFE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3</TotalTime>
  <Pages>6</Pages>
  <Words>2997</Words>
  <Characters>17086</Characters>
  <Application>Microsoft Office Word</Application>
  <DocSecurity>0</DocSecurity>
  <Lines>142</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Armada</Company>
  <LinksUpToDate>false</LinksUpToDate>
  <CharactersWithSpaces>20043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dc:creator>
  <cp:keywords/>
  <cp:lastModifiedBy>МЮ</cp:lastModifiedBy>
  <cp:revision>1</cp:revision>
  <dcterms:created xsi:type="dcterms:W3CDTF">2014-05-27T13:51:00Z</dcterms:created>
  <dcterms:modified xsi:type="dcterms:W3CDTF">2014-05-27T13:54:00Z</dcterms:modified>
</cp:coreProperties>
</file>