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5FD" w:rsidRDefault="003835FD" w:rsidP="003835FD"/>
    <w:tbl>
      <w:tblPr>
        <w:tblpPr w:leftFromText="180" w:rightFromText="180" w:vertAnchor="text" w:horzAnchor="margin" w:tblpY="-10"/>
        <w:tblW w:w="4928" w:type="dxa"/>
        <w:tblLayout w:type="fixed"/>
        <w:tblLook w:val="0000"/>
      </w:tblPr>
      <w:tblGrid>
        <w:gridCol w:w="4928"/>
      </w:tblGrid>
      <w:tr w:rsidR="003835FD" w:rsidRPr="00E56675" w:rsidTr="003B42B2">
        <w:trPr>
          <w:trHeight w:val="3576"/>
        </w:trPr>
        <w:tc>
          <w:tcPr>
            <w:tcW w:w="4928" w:type="dxa"/>
          </w:tcPr>
          <w:p w:rsidR="003835FD" w:rsidRPr="00E56675" w:rsidRDefault="003835FD" w:rsidP="003B42B2">
            <w:pPr>
              <w:ind w:firstLine="709"/>
              <w:jc w:val="center"/>
            </w:pPr>
            <w:r w:rsidRPr="00E56675">
              <w:rPr>
                <w:szCs w:val="22"/>
              </w:rPr>
              <w:t>МИНИСТЕРСТВО ЮСТИЦИИ</w:t>
            </w:r>
          </w:p>
          <w:p w:rsidR="003835FD" w:rsidRPr="00E56675" w:rsidRDefault="003835FD" w:rsidP="003B42B2">
            <w:pPr>
              <w:ind w:firstLine="709"/>
              <w:jc w:val="center"/>
            </w:pPr>
            <w:r w:rsidRPr="00E56675">
              <w:rPr>
                <w:szCs w:val="22"/>
              </w:rPr>
              <w:t>РОССИЙСКОЙ ФЕДЕРАЦИИ</w:t>
            </w:r>
          </w:p>
          <w:p w:rsidR="003835FD" w:rsidRPr="00E56675" w:rsidRDefault="003835FD" w:rsidP="003B42B2">
            <w:pPr>
              <w:ind w:firstLine="709"/>
              <w:jc w:val="center"/>
            </w:pPr>
            <w:r w:rsidRPr="00E56675">
              <w:t>(МИНЮСТ РОССИИ)</w:t>
            </w:r>
          </w:p>
          <w:p w:rsidR="003835FD" w:rsidRPr="00E56675" w:rsidRDefault="003835FD" w:rsidP="003B42B2">
            <w:pPr>
              <w:ind w:firstLine="709"/>
              <w:jc w:val="center"/>
            </w:pPr>
            <w:r w:rsidRPr="00E56675">
              <w:rPr>
                <w:szCs w:val="22"/>
              </w:rPr>
              <w:t>Управление Министерства</w:t>
            </w:r>
          </w:p>
          <w:p w:rsidR="003835FD" w:rsidRPr="00E56675" w:rsidRDefault="003835FD" w:rsidP="003B42B2">
            <w:pPr>
              <w:ind w:firstLine="709"/>
              <w:jc w:val="center"/>
            </w:pPr>
            <w:r w:rsidRPr="00E56675">
              <w:rPr>
                <w:szCs w:val="22"/>
              </w:rPr>
              <w:t>юстиции Российской Федерации</w:t>
            </w:r>
          </w:p>
          <w:p w:rsidR="003835FD" w:rsidRPr="00E56675" w:rsidRDefault="003835FD" w:rsidP="003B42B2">
            <w:pPr>
              <w:ind w:firstLine="709"/>
              <w:jc w:val="center"/>
            </w:pPr>
            <w:r w:rsidRPr="00E56675">
              <w:rPr>
                <w:szCs w:val="22"/>
              </w:rPr>
              <w:t>по Костромской области</w:t>
            </w:r>
          </w:p>
          <w:p w:rsidR="003835FD" w:rsidRPr="00E56675" w:rsidRDefault="003835FD" w:rsidP="003B42B2">
            <w:pPr>
              <w:ind w:firstLine="709"/>
              <w:jc w:val="center"/>
              <w:rPr>
                <w:szCs w:val="20"/>
              </w:rPr>
            </w:pPr>
          </w:p>
          <w:p w:rsidR="003835FD" w:rsidRPr="00E56675" w:rsidRDefault="003835FD" w:rsidP="003B42B2">
            <w:pPr>
              <w:ind w:firstLine="709"/>
              <w:jc w:val="center"/>
              <w:rPr>
                <w:szCs w:val="20"/>
              </w:rPr>
            </w:pPr>
            <w:r w:rsidRPr="00E56675">
              <w:rPr>
                <w:szCs w:val="20"/>
              </w:rPr>
              <w:t>ул. Симановского, д. 105</w:t>
            </w:r>
          </w:p>
          <w:p w:rsidR="003835FD" w:rsidRPr="00E56675" w:rsidRDefault="003835FD" w:rsidP="003B42B2">
            <w:pPr>
              <w:ind w:firstLine="709"/>
              <w:jc w:val="center"/>
              <w:rPr>
                <w:szCs w:val="20"/>
              </w:rPr>
            </w:pPr>
            <w:r w:rsidRPr="00E56675">
              <w:rPr>
                <w:szCs w:val="20"/>
              </w:rPr>
              <w:t>г. Кострома, 156002</w:t>
            </w:r>
          </w:p>
          <w:p w:rsidR="003835FD" w:rsidRPr="00E56675" w:rsidRDefault="003835FD" w:rsidP="003B42B2">
            <w:pPr>
              <w:ind w:firstLine="709"/>
              <w:jc w:val="center"/>
              <w:rPr>
                <w:szCs w:val="20"/>
              </w:rPr>
            </w:pPr>
            <w:r w:rsidRPr="00E56675">
              <w:rPr>
                <w:szCs w:val="20"/>
              </w:rPr>
              <w:t>Тел./факс: (4942) 45-42-22</w:t>
            </w:r>
          </w:p>
          <w:p w:rsidR="003835FD" w:rsidRPr="00E56675" w:rsidRDefault="003835FD" w:rsidP="003B42B2">
            <w:pPr>
              <w:ind w:firstLine="709"/>
              <w:jc w:val="center"/>
              <w:rPr>
                <w:szCs w:val="20"/>
              </w:rPr>
            </w:pPr>
            <w:r w:rsidRPr="00E56675">
              <w:rPr>
                <w:szCs w:val="20"/>
                <w:lang w:val="en-US"/>
              </w:rPr>
              <w:t>e</w:t>
            </w:r>
            <w:r w:rsidRPr="00E56675">
              <w:rPr>
                <w:szCs w:val="20"/>
              </w:rPr>
              <w:t>-</w:t>
            </w:r>
            <w:r w:rsidRPr="00E56675">
              <w:rPr>
                <w:szCs w:val="20"/>
                <w:lang w:val="en-US"/>
              </w:rPr>
              <w:t>mail</w:t>
            </w:r>
            <w:r w:rsidRPr="00E56675">
              <w:rPr>
                <w:szCs w:val="20"/>
              </w:rPr>
              <w:t xml:space="preserve">: </w:t>
            </w:r>
            <w:r w:rsidRPr="00E56675">
              <w:rPr>
                <w:szCs w:val="20"/>
                <w:lang w:val="en-US"/>
              </w:rPr>
              <w:t>ru</w:t>
            </w:r>
            <w:r w:rsidRPr="00E56675">
              <w:rPr>
                <w:szCs w:val="20"/>
              </w:rPr>
              <w:t>44@</w:t>
            </w:r>
            <w:r w:rsidRPr="00E56675">
              <w:rPr>
                <w:szCs w:val="20"/>
                <w:lang w:val="en-US"/>
              </w:rPr>
              <w:t>minjust</w:t>
            </w:r>
            <w:r w:rsidRPr="00E56675">
              <w:rPr>
                <w:szCs w:val="20"/>
              </w:rPr>
              <w:t>.</w:t>
            </w:r>
            <w:r w:rsidRPr="00E56675">
              <w:rPr>
                <w:szCs w:val="20"/>
                <w:lang w:val="en-US"/>
              </w:rPr>
              <w:t>ru</w:t>
            </w:r>
          </w:p>
          <w:p w:rsidR="003835FD" w:rsidRPr="00E56675" w:rsidRDefault="003835FD" w:rsidP="003B42B2">
            <w:pPr>
              <w:ind w:firstLine="709"/>
              <w:jc w:val="center"/>
              <w:rPr>
                <w:szCs w:val="20"/>
              </w:rPr>
            </w:pPr>
          </w:p>
          <w:p w:rsidR="003835FD" w:rsidRPr="00E56675" w:rsidRDefault="003835FD" w:rsidP="003B42B2">
            <w:pPr>
              <w:ind w:firstLine="709"/>
              <w:jc w:val="center"/>
              <w:rPr>
                <w:szCs w:val="20"/>
              </w:rPr>
            </w:pPr>
            <w:r>
              <w:rPr>
                <w:szCs w:val="20"/>
              </w:rPr>
              <w:t xml:space="preserve">22.07.2015    </w:t>
            </w:r>
            <w:r w:rsidRPr="00E56675">
              <w:rPr>
                <w:szCs w:val="20"/>
              </w:rPr>
              <w:t>№</w:t>
            </w:r>
            <w:r>
              <w:rPr>
                <w:szCs w:val="20"/>
              </w:rPr>
              <w:t xml:space="preserve">   44/04-2445</w:t>
            </w:r>
          </w:p>
          <w:p w:rsidR="003835FD" w:rsidRPr="00E56675" w:rsidRDefault="003835FD" w:rsidP="003B42B2">
            <w:pPr>
              <w:ind w:firstLine="709"/>
              <w:jc w:val="center"/>
              <w:rPr>
                <w:szCs w:val="20"/>
              </w:rPr>
            </w:pPr>
          </w:p>
          <w:p w:rsidR="003835FD" w:rsidRPr="00E56675" w:rsidRDefault="003835FD" w:rsidP="003B42B2">
            <w:pPr>
              <w:ind w:firstLine="709"/>
              <w:jc w:val="center"/>
              <w:rPr>
                <w:szCs w:val="20"/>
              </w:rPr>
            </w:pPr>
            <w:r w:rsidRPr="00E56675">
              <w:rPr>
                <w:szCs w:val="20"/>
              </w:rPr>
              <w:t>На № _______ от ___________</w:t>
            </w:r>
          </w:p>
        </w:tc>
      </w:tr>
    </w:tbl>
    <w:p w:rsidR="003835FD" w:rsidRPr="00E56675" w:rsidRDefault="003835FD" w:rsidP="003835FD">
      <w:pPr>
        <w:ind w:firstLine="709"/>
        <w:rPr>
          <w:szCs w:val="28"/>
        </w:rPr>
      </w:pPr>
    </w:p>
    <w:p w:rsidR="003835FD" w:rsidRPr="00E56675" w:rsidRDefault="003835FD" w:rsidP="003835FD">
      <w:pPr>
        <w:ind w:firstLine="709"/>
        <w:rPr>
          <w:szCs w:val="28"/>
        </w:rPr>
      </w:pPr>
    </w:p>
    <w:p w:rsidR="003835FD" w:rsidRDefault="003835FD" w:rsidP="003835FD">
      <w:pPr>
        <w:ind w:firstLine="709"/>
        <w:jc w:val="center"/>
        <w:rPr>
          <w:szCs w:val="28"/>
        </w:rPr>
      </w:pPr>
      <w:r>
        <w:rPr>
          <w:szCs w:val="28"/>
        </w:rPr>
        <w:t>Временно исполняющему</w:t>
      </w:r>
    </w:p>
    <w:p w:rsidR="003835FD" w:rsidRDefault="003835FD" w:rsidP="003835FD">
      <w:pPr>
        <w:ind w:firstLine="709"/>
        <w:jc w:val="center"/>
        <w:rPr>
          <w:szCs w:val="28"/>
        </w:rPr>
      </w:pPr>
      <w:r>
        <w:rPr>
          <w:szCs w:val="28"/>
        </w:rPr>
        <w:t>обязанности губернатора</w:t>
      </w:r>
    </w:p>
    <w:p w:rsidR="003835FD" w:rsidRDefault="003835FD" w:rsidP="003835FD">
      <w:pPr>
        <w:ind w:firstLine="709"/>
        <w:jc w:val="center"/>
        <w:rPr>
          <w:szCs w:val="28"/>
        </w:rPr>
      </w:pPr>
      <w:r>
        <w:rPr>
          <w:szCs w:val="28"/>
        </w:rPr>
        <w:t>Костромской области</w:t>
      </w:r>
    </w:p>
    <w:p w:rsidR="003835FD" w:rsidRDefault="003835FD" w:rsidP="003835FD">
      <w:pPr>
        <w:ind w:firstLine="709"/>
        <w:jc w:val="center"/>
        <w:rPr>
          <w:szCs w:val="28"/>
        </w:rPr>
      </w:pPr>
    </w:p>
    <w:p w:rsidR="003835FD" w:rsidRDefault="003835FD" w:rsidP="003835FD">
      <w:pPr>
        <w:ind w:firstLine="709"/>
        <w:jc w:val="center"/>
        <w:rPr>
          <w:szCs w:val="28"/>
        </w:rPr>
      </w:pPr>
    </w:p>
    <w:p w:rsidR="003835FD" w:rsidRDefault="003835FD" w:rsidP="003835FD">
      <w:pPr>
        <w:ind w:firstLine="709"/>
        <w:jc w:val="center"/>
        <w:rPr>
          <w:szCs w:val="28"/>
        </w:rPr>
      </w:pPr>
      <w:r>
        <w:rPr>
          <w:szCs w:val="28"/>
        </w:rPr>
        <w:t>С.К. Ситникову</w:t>
      </w:r>
    </w:p>
    <w:p w:rsidR="003835FD" w:rsidRDefault="003835FD" w:rsidP="003835FD">
      <w:pPr>
        <w:ind w:firstLine="709"/>
        <w:jc w:val="center"/>
        <w:rPr>
          <w:szCs w:val="28"/>
        </w:rPr>
      </w:pPr>
    </w:p>
    <w:p w:rsidR="003835FD" w:rsidRDefault="003835FD" w:rsidP="003835FD">
      <w:pPr>
        <w:ind w:firstLine="709"/>
        <w:jc w:val="center"/>
        <w:rPr>
          <w:szCs w:val="28"/>
        </w:rPr>
      </w:pPr>
    </w:p>
    <w:p w:rsidR="003835FD" w:rsidRDefault="003835FD" w:rsidP="003835FD">
      <w:pPr>
        <w:ind w:firstLine="709"/>
        <w:jc w:val="center"/>
        <w:rPr>
          <w:szCs w:val="28"/>
        </w:rPr>
      </w:pPr>
    </w:p>
    <w:p w:rsidR="003835FD" w:rsidRPr="00E56675" w:rsidRDefault="003835FD" w:rsidP="003835FD">
      <w:pPr>
        <w:ind w:firstLine="709"/>
        <w:jc w:val="center"/>
      </w:pPr>
    </w:p>
    <w:p w:rsidR="003835FD" w:rsidRPr="00E56675" w:rsidRDefault="003835FD" w:rsidP="003835FD">
      <w:pPr>
        <w:ind w:firstLine="709"/>
      </w:pPr>
    </w:p>
    <w:p w:rsidR="003835FD" w:rsidRPr="00E56675" w:rsidRDefault="003835FD" w:rsidP="003835FD">
      <w:pPr>
        <w:ind w:firstLine="709"/>
      </w:pPr>
    </w:p>
    <w:p w:rsidR="003835FD" w:rsidRPr="00E56675" w:rsidRDefault="003835FD" w:rsidP="003835FD">
      <w:pPr>
        <w:ind w:firstLine="709"/>
      </w:pPr>
    </w:p>
    <w:p w:rsidR="003835FD" w:rsidRPr="00E56675" w:rsidRDefault="003835FD" w:rsidP="003835FD">
      <w:pPr>
        <w:ind w:firstLine="709"/>
      </w:pPr>
    </w:p>
    <w:p w:rsidR="003835FD" w:rsidRDefault="003835FD" w:rsidP="003835FD">
      <w:pPr>
        <w:ind w:firstLine="0"/>
      </w:pPr>
    </w:p>
    <w:p w:rsidR="003835FD" w:rsidRDefault="003835FD" w:rsidP="003835FD">
      <w:pPr>
        <w:ind w:firstLine="709"/>
      </w:pPr>
    </w:p>
    <w:p w:rsidR="003835FD" w:rsidRPr="00E56675" w:rsidRDefault="003835FD" w:rsidP="003835FD">
      <w:pPr>
        <w:ind w:firstLine="709"/>
        <w:jc w:val="center"/>
      </w:pPr>
      <w:r>
        <w:t>22.07. 2015</w:t>
      </w:r>
      <w:r w:rsidRPr="00E56675">
        <w:t xml:space="preserve">                        </w:t>
      </w:r>
      <w:r>
        <w:t xml:space="preserve">            </w:t>
      </w:r>
      <w:r w:rsidRPr="00E56675">
        <w:t xml:space="preserve">                                             №  1</w:t>
      </w:r>
      <w:r>
        <w:t>4389</w:t>
      </w:r>
    </w:p>
    <w:p w:rsidR="005017E6" w:rsidRDefault="005017E6" w:rsidP="003835FD"/>
    <w:p w:rsidR="003835FD" w:rsidRPr="003835FD" w:rsidRDefault="003835FD" w:rsidP="003835FD">
      <w:pPr>
        <w:jc w:val="center"/>
        <w:rPr>
          <w:bCs/>
        </w:rPr>
      </w:pPr>
      <w:r w:rsidRPr="003835FD">
        <w:rPr>
          <w:bCs/>
        </w:rPr>
        <w:t>ЭКСПЕРТНОЕ ЗАКЛЮЧЕНИЕ</w:t>
      </w:r>
    </w:p>
    <w:p w:rsidR="003835FD" w:rsidRPr="003835FD" w:rsidRDefault="003835FD" w:rsidP="003835FD">
      <w:pPr>
        <w:jc w:val="center"/>
      </w:pPr>
      <w:r w:rsidRPr="003835FD">
        <w:t>по результатам проведения правовой экспертизы</w:t>
      </w:r>
    </w:p>
    <w:p w:rsidR="003835FD" w:rsidRPr="003835FD" w:rsidRDefault="003835FD" w:rsidP="003835FD">
      <w:pPr>
        <w:jc w:val="center"/>
        <w:rPr>
          <w:b/>
          <w:bCs/>
        </w:rPr>
      </w:pPr>
    </w:p>
    <w:p w:rsidR="003835FD" w:rsidRPr="003835FD" w:rsidRDefault="003835FD" w:rsidP="003835FD">
      <w:pPr>
        <w:jc w:val="center"/>
        <w:rPr>
          <w:b/>
          <w:bCs/>
        </w:rPr>
      </w:pPr>
      <w:r w:rsidRPr="003835FD">
        <w:rPr>
          <w:b/>
          <w:bCs/>
        </w:rPr>
        <w:t>на постановление администрации Костромской области от 22.04.2014 № 145-а «Об утверждении положения о предоставлении социальных выплат на строительство (приобретение) жилья гражданам Российской Федерации, проживающим в сельской местности на территории Костромской области, в том числе молодым семьям и молодым специалистам на селе» (в редакции постановлений администрации Костромской области от 27.01.2015 № 2-а, от 26.03.2015 № 117-а)</w:t>
      </w:r>
    </w:p>
    <w:p w:rsidR="003835FD" w:rsidRPr="003835FD" w:rsidRDefault="003835FD" w:rsidP="003835FD">
      <w:pPr>
        <w:rPr>
          <w:b/>
          <w:bCs/>
        </w:rPr>
      </w:pPr>
    </w:p>
    <w:p w:rsidR="003835FD" w:rsidRPr="003835FD" w:rsidRDefault="003835FD" w:rsidP="003835FD">
      <w:pPr>
        <w:rPr>
          <w:bCs/>
        </w:rPr>
      </w:pPr>
      <w:r w:rsidRPr="003835FD">
        <w:rPr>
          <w:bCs/>
        </w:rPr>
        <w:t>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повторную правовую экспертизу постановления администрации Костромской области от 22.04.2014 № 145-а «Об утверждении положения о предоставлении социальных выплат на строительство (приобретение) жилья гражданам Российской Федерации, проживающим в сельской местности на территории Костромской области, в том числе молодым семьям и молодым специалистам на селе» (в редакции постановлений администрации Костромской области от 27.01.2015 № 2-а, от 26.03.2015 № 117-а) (далее – постановление).</w:t>
      </w:r>
    </w:p>
    <w:p w:rsidR="003835FD" w:rsidRPr="003835FD" w:rsidRDefault="003835FD" w:rsidP="003835FD">
      <w:pPr>
        <w:rPr>
          <w:bCs/>
        </w:rPr>
      </w:pPr>
      <w:r w:rsidRPr="003835FD">
        <w:rPr>
          <w:bCs/>
        </w:rPr>
        <w:lastRenderedPageBreak/>
        <w:t>Поводом проведения повторной правовой экспертизы является собственная инициатива Управления Министерства юстиции Российской Федерации по Костромской области.</w:t>
      </w:r>
    </w:p>
    <w:p w:rsidR="003835FD" w:rsidRPr="003835FD" w:rsidRDefault="003835FD" w:rsidP="003835FD">
      <w:pPr>
        <w:rPr>
          <w:bCs/>
        </w:rPr>
      </w:pPr>
      <w:r w:rsidRPr="003835FD">
        <w:rPr>
          <w:bCs/>
        </w:rPr>
        <w:t xml:space="preserve">В целях реализации постановления администрации Костромской области от 12.11.2013 № 477-а «Об утверждении государственной программы Костромской области «Устойчивое развитие сельских территорий Костромской области на 2014 - 2020 годы» настоящим постановлением утверждено положение о предоставлении социальных выплат на строительство (приобретение) жилья гражданам Российской Федерации, проживающим в сельской местности на территории Костромской области, в том числе молодым семьям и молодым специалистам на селе (далее – Положение). </w:t>
      </w:r>
    </w:p>
    <w:p w:rsidR="003835FD" w:rsidRPr="003835FD" w:rsidRDefault="003835FD" w:rsidP="003835FD">
      <w:pPr>
        <w:rPr>
          <w:bCs/>
        </w:rPr>
      </w:pPr>
      <w:r w:rsidRPr="003835FD">
        <w:rPr>
          <w:bCs/>
        </w:rPr>
        <w:t>Таким образом, предметом правового регулирования постановления являются правоотношения, складывающиеся в сфере социально-экономического развития сельских территорий Костромской области.</w:t>
      </w:r>
    </w:p>
    <w:p w:rsidR="003835FD" w:rsidRPr="003835FD" w:rsidRDefault="003835FD" w:rsidP="003835FD">
      <w:pPr>
        <w:rPr>
          <w:bCs/>
        </w:rPr>
      </w:pPr>
      <w:r w:rsidRPr="003835FD">
        <w:rPr>
          <w:bCs/>
        </w:rPr>
        <w:t>В соответствии с пунктами «ж» и «к» части 1 статьи 71 Конституции Российской Федерации социальная защита, включая социальное обеспечение; жилищное законодательство находятся в совместном ведении Российской Федерации и субъектов Российской Федерации.</w:t>
      </w:r>
    </w:p>
    <w:p w:rsidR="003835FD" w:rsidRPr="003835FD" w:rsidRDefault="003835FD" w:rsidP="003835FD">
      <w:pPr>
        <w:rPr>
          <w:bCs/>
        </w:rPr>
      </w:pPr>
      <w:r w:rsidRPr="003835FD">
        <w:rPr>
          <w:bCs/>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3835FD" w:rsidRPr="003835FD" w:rsidRDefault="003835FD" w:rsidP="003835FD">
      <w:pPr>
        <w:rPr>
          <w:bCs/>
        </w:rPr>
      </w:pPr>
      <w:r w:rsidRPr="003835FD">
        <w:rPr>
          <w:bCs/>
        </w:rPr>
        <w:t>Частью 6 статьи 5 Жилищного кодекса Российской Федерации установлено, что органы государственной власти субъектов Российской Федерации могут принимать законы и иные нормативные правовые акты, содержащие нормы, регулирующие жилищные отношения, в пределах своих полномочий на основании настоящего Кодекса, принятых в соответствии с настоящим Кодексом других федеральных законов.</w:t>
      </w:r>
    </w:p>
    <w:p w:rsidR="003835FD" w:rsidRPr="003835FD" w:rsidRDefault="003835FD" w:rsidP="003835FD">
      <w:pPr>
        <w:rPr>
          <w:bCs/>
        </w:rPr>
      </w:pPr>
      <w:bookmarkStart w:id="0" w:name="sub_202"/>
      <w:bookmarkStart w:id="1" w:name="sub_200001"/>
      <w:r w:rsidRPr="003835FD">
        <w:rPr>
          <w:bCs/>
        </w:rPr>
        <w:t>Согласно пункту 2</w:t>
      </w:r>
      <w:bookmarkEnd w:id="0"/>
      <w:r w:rsidRPr="003835FD">
        <w:rPr>
          <w:bCs/>
        </w:rPr>
        <w:t xml:space="preserve"> статьи 2 Жилищного кодекса Российской Федерации органы государственной власти и органы местного самоуправления в пределах своих полномочий обеспечивают условия для осуществления гражданами права на жилище, в том числе используют бюджетные средства и иные не запрещенные законом источники денежных средств для улучшения жилищных условий граждан, в том числе путем предоставления в установленном порядке субсидий для приобретения или строительства жилых помещений.</w:t>
      </w:r>
    </w:p>
    <w:p w:rsidR="003835FD" w:rsidRPr="003835FD" w:rsidRDefault="003835FD" w:rsidP="003835FD">
      <w:pPr>
        <w:rPr>
          <w:bCs/>
        </w:rPr>
      </w:pPr>
      <w:r w:rsidRPr="003835FD">
        <w:rPr>
          <w:bCs/>
        </w:rPr>
        <w:t>Частью 1 статьи 28 Устава Костромской области установлено, что администрация Костромской области разрабатывает и осуществляет меры по обеспечению комплексного социально-экономического развития Костромской области, участвует в проведении единой государственной политики в области финансов, науки, образования, здравоохранения, культуры, физической культуры и спорта, социального обеспечения, безопасности дорожного движения и экологии.</w:t>
      </w:r>
    </w:p>
    <w:bookmarkEnd w:id="1"/>
    <w:p w:rsidR="003835FD" w:rsidRPr="003835FD" w:rsidRDefault="003835FD" w:rsidP="003835FD">
      <w:pPr>
        <w:rPr>
          <w:bCs/>
        </w:rPr>
      </w:pPr>
      <w:r w:rsidRPr="003835FD">
        <w:rPr>
          <w:bCs/>
        </w:rPr>
        <w:t>Частью 3 статьи 28 Устава Костромской области определено, что администрация Костромской области на основании и во исполнение Конституции Российской Федерации, федеральных законов, нормативных актов Президента Российской Федерации, постановлений Правительства Российской Федерации, настоящего Устава и законов Костромской области по вопросам, требующим нормативного регулирования, издает постановления, а также обеспечивает их исполнение.</w:t>
      </w:r>
    </w:p>
    <w:p w:rsidR="003835FD" w:rsidRPr="003835FD" w:rsidRDefault="003835FD" w:rsidP="003835FD">
      <w:pPr>
        <w:rPr>
          <w:bCs/>
        </w:rPr>
      </w:pPr>
      <w:r w:rsidRPr="003835FD">
        <w:rPr>
          <w:bCs/>
        </w:rPr>
        <w:t>Таким образом, данное постановление принято администрацией Костромской области в пределах своих полномочий.</w:t>
      </w:r>
    </w:p>
    <w:p w:rsidR="003835FD" w:rsidRPr="003835FD" w:rsidRDefault="003835FD" w:rsidP="003835FD">
      <w:pPr>
        <w:rPr>
          <w:bCs/>
        </w:rPr>
      </w:pPr>
      <w:r w:rsidRPr="003835FD">
        <w:rPr>
          <w:bCs/>
        </w:rPr>
        <w:lastRenderedPageBreak/>
        <w:t xml:space="preserve">На федеральном уровне рассматриваемые правоотношения регулируются </w:t>
      </w:r>
      <w:hyperlink r:id="rId5" w:tgtFrame="_self" w:history="1">
        <w:r w:rsidRPr="003835FD">
          <w:rPr>
            <w:rStyle w:val="a5"/>
          </w:rPr>
          <w:t>Конституцией Российской Федерации</w:t>
        </w:r>
      </w:hyperlink>
      <w:r w:rsidRPr="003835FD">
        <w:rPr>
          <w:bCs/>
        </w:rPr>
        <w:t xml:space="preserve">, </w:t>
      </w:r>
      <w:hyperlink r:id="rId6" w:tgtFrame="_self" w:history="1">
        <w:r w:rsidRPr="003835FD">
          <w:rPr>
            <w:rStyle w:val="a5"/>
            <w:bCs/>
          </w:rPr>
          <w:t>Жилищным кодексом Российской Федерации</w:t>
        </w:r>
      </w:hyperlink>
      <w:r w:rsidRPr="003835FD">
        <w:rPr>
          <w:bCs/>
        </w:rPr>
        <w:t xml:space="preserve">, Федеральным законом </w:t>
      </w:r>
      <w:hyperlink r:id="rId7" w:tgtFrame="_self" w:history="1">
        <w:r w:rsidRPr="003835FD">
          <w:rPr>
            <w:rStyle w:val="a5"/>
          </w:rPr>
          <w:t>от 06.10.1999 № 184-ФЗ</w:t>
        </w:r>
      </w:hyperlink>
      <w:r w:rsidRPr="003835FD">
        <w:rPr>
          <w:bCs/>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постановлением Правительства Российской Федерации от 15.07.2013 № 598 «О федеральной целевой программе «Устойчивое развитие сельских территорий на 2014 - 2017 годы и на период до 2020 года».</w:t>
      </w:r>
    </w:p>
    <w:p w:rsidR="003835FD" w:rsidRPr="003835FD" w:rsidRDefault="003835FD" w:rsidP="003835FD">
      <w:pPr>
        <w:rPr>
          <w:bCs/>
        </w:rPr>
      </w:pPr>
      <w:r w:rsidRPr="003835FD">
        <w:rPr>
          <w:bCs/>
        </w:rPr>
        <w:t>В результате анализа содержания постановления администрации Костромской области от 26.03.2015 № 117-а «О внесении изменений в постановление администрации Костромской области от 22.04.2014 № 145-а», опубликованного на официальном интернет – портале правовой информации (www.pravo.gov.ru) 30.03.2015, нарушений Конституции Российской Федерации, федерального законодательства не выявлено.</w:t>
      </w:r>
    </w:p>
    <w:p w:rsidR="003835FD" w:rsidRPr="003835FD" w:rsidRDefault="003835FD" w:rsidP="003835FD">
      <w:pPr>
        <w:rPr>
          <w:bCs/>
        </w:rPr>
      </w:pPr>
      <w:r w:rsidRPr="003835FD">
        <w:rPr>
          <w:bCs/>
        </w:rPr>
        <w:t>Повторная правовая экспертиза постановления показала, что данный нормативный правовой акт соответствует Конституции Российской Федерации и федеральному законодательству, является необходимым для урегулирования правоотношений в данной сфере.</w:t>
      </w:r>
    </w:p>
    <w:p w:rsidR="003835FD" w:rsidRPr="003835FD" w:rsidRDefault="003835FD" w:rsidP="003835FD">
      <w:pPr>
        <w:rPr>
          <w:bCs/>
        </w:rPr>
      </w:pPr>
      <w:r w:rsidRPr="003835FD">
        <w:rPr>
          <w:bCs/>
        </w:rPr>
        <w:t>Порядок принятия и опубликования постановления соблюден.</w:t>
      </w:r>
    </w:p>
    <w:p w:rsidR="003835FD" w:rsidRPr="003835FD" w:rsidRDefault="003835FD" w:rsidP="003835FD">
      <w:pPr>
        <w:rPr>
          <w:bCs/>
        </w:rPr>
      </w:pPr>
      <w:r w:rsidRPr="003835FD">
        <w:rPr>
          <w:bCs/>
        </w:rPr>
        <w:t>Форма постановления соответствует правилам юридической техники.</w:t>
      </w:r>
    </w:p>
    <w:p w:rsidR="003835FD" w:rsidRPr="003835FD" w:rsidRDefault="003835FD" w:rsidP="003835FD">
      <w:pPr>
        <w:rPr>
          <w:bCs/>
        </w:rPr>
      </w:pPr>
      <w:r w:rsidRPr="003835FD">
        <w:rPr>
          <w:bCs/>
        </w:rPr>
        <w:t xml:space="preserve">Данный нормативный правовой акт является недостаточным для урегулирования правоотношений в данной сфере. </w:t>
      </w:r>
    </w:p>
    <w:p w:rsidR="003835FD" w:rsidRPr="003835FD" w:rsidRDefault="003835FD" w:rsidP="003835FD">
      <w:pPr>
        <w:rPr>
          <w:bCs/>
        </w:rPr>
      </w:pPr>
      <w:r w:rsidRPr="003835FD">
        <w:rPr>
          <w:bCs/>
        </w:rPr>
        <w:t xml:space="preserve">По результатам проведенной повторной антикоррупционной экспертизы в соответствии с частью 3 статьи 3 Федерального закона </w:t>
      </w:r>
      <w:hyperlink r:id="rId8" w:tgtFrame="_self" w:history="1">
        <w:r w:rsidRPr="003835FD">
          <w:rPr>
            <w:rStyle w:val="a5"/>
            <w:bCs/>
          </w:rPr>
          <w:t>от 17.07.2009 № 172-ФЗ</w:t>
        </w:r>
      </w:hyperlink>
      <w:r w:rsidRPr="003835FD">
        <w:rPr>
          <w:bCs/>
        </w:rPr>
        <w:t>«Об антикоррупционной экспертизе нормативных правовых актов и проектов нормативных правовых актов», статьей 6 Федерального закона</w:t>
      </w:r>
      <w:r>
        <w:rPr>
          <w:bCs/>
        </w:rPr>
        <w:t xml:space="preserve"> </w:t>
      </w:r>
      <w:hyperlink r:id="rId9" w:tgtFrame="_self" w:history="1">
        <w:r w:rsidRPr="003835FD">
          <w:rPr>
            <w:rStyle w:val="a5"/>
            <w:bCs/>
          </w:rPr>
          <w:t>от 25.12.2008 № 273-ФЗ</w:t>
        </w:r>
      </w:hyperlink>
      <w:r w:rsidRPr="003835FD">
        <w:rPr>
          <w:bCs/>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10" w:tgtFrame="_self" w:history="1">
        <w:r w:rsidRPr="003835FD">
          <w:rPr>
            <w:rStyle w:val="a5"/>
            <w:bCs/>
          </w:rPr>
          <w:t>от 26.02.2010 № 96</w:t>
        </w:r>
      </w:hyperlink>
      <w:r w:rsidRPr="003835FD">
        <w:rPr>
          <w:bCs/>
        </w:rPr>
        <w:t>, выявлены коррупциогенные факторы.</w:t>
      </w:r>
    </w:p>
    <w:p w:rsidR="003835FD" w:rsidRPr="003835FD" w:rsidRDefault="003835FD" w:rsidP="003835FD">
      <w:pPr>
        <w:rPr>
          <w:bCs/>
        </w:rPr>
      </w:pPr>
      <w:r w:rsidRPr="003835FD">
        <w:rPr>
          <w:bCs/>
        </w:rPr>
        <w:t>1. Пунктом 21 Положения установлено, что администрация муниципального района проверяет правильность оформления документов, указанных в пункте 19 настоящего Положения, и достоверность содержащихся в них сведений, формирует списки граждан, изъявивших желание улучшить жилищные условия с использованием социальных выплат, на очередной финансовый год и плановый период и направляет их с приложением сведений о привлечении средств местных бюджетов для этих целей в департамент. При выявлении недостоверной информации, содержащейся в этих документах, администрация муниципального района возвращает их заявителю с указанием причин возврата.</w:t>
      </w:r>
    </w:p>
    <w:p w:rsidR="003835FD" w:rsidRPr="003835FD" w:rsidRDefault="003835FD" w:rsidP="003835FD">
      <w:pPr>
        <w:rPr>
          <w:bCs/>
        </w:rPr>
      </w:pPr>
      <w:r w:rsidRPr="003835FD">
        <w:rPr>
          <w:bCs/>
        </w:rPr>
        <w:t>Согласно абзацу 3 пункта 22 Правил предоставления и распределения субсидий из федерального бюджета бюджетам субъектов Российской Федерации на улучшение жилищных условий граждан, проживающих в сельской местности, в том числе молодых семей и молодых специалистов, утвержденных постановлением Правительства Российской Федерации от 15.07.2013 № 598 «О федеральной целевой программе «Устойчивое развитие сельских территорий на 2014 – 2017 годы и на период до 2020 года», порядок формирования и утверждения списков участников мероприятий и порядок выдачи свидетельств устанавливаются нормативными правовыми актами субъектов Российской Федерации.</w:t>
      </w:r>
    </w:p>
    <w:p w:rsidR="003835FD" w:rsidRPr="003835FD" w:rsidRDefault="003835FD" w:rsidP="003835FD">
      <w:pPr>
        <w:rPr>
          <w:bCs/>
        </w:rPr>
      </w:pPr>
      <w:r w:rsidRPr="003835FD">
        <w:rPr>
          <w:bCs/>
        </w:rPr>
        <w:t xml:space="preserve">В Положении отсутствует порядок формирования администрациями муниципальных районов списков граждан, изъявивших желание улучшить </w:t>
      </w:r>
      <w:r w:rsidRPr="003835FD">
        <w:rPr>
          <w:bCs/>
        </w:rPr>
        <w:lastRenderedPageBreak/>
        <w:t xml:space="preserve">жилищные условия с использованием социальных выплат, на очередной финансовый год и плановый период. </w:t>
      </w:r>
    </w:p>
    <w:p w:rsidR="003835FD" w:rsidRPr="003835FD" w:rsidRDefault="003835FD" w:rsidP="003835FD">
      <w:pPr>
        <w:rPr>
          <w:bCs/>
        </w:rPr>
      </w:pPr>
      <w:bookmarkStart w:id="2" w:name="sub_20037"/>
      <w:r w:rsidRPr="003835FD">
        <w:rPr>
          <w:bCs/>
        </w:rPr>
        <w:t>Отсутствие порядка совершения органами государственной власти или органами местного самоуправления (их должностными лицами) определенных действий либо одного из элементов такого порядка, отсутствие или неопределенность сроков, условий или оснований принятия решения является коррупциогенными факторами, устанавливающими для правоприменителя необоснованно широкие пределы усмотрения или возможность необоснованного применения исключений из общих правил, в силу подпунктов «а» и «ж» пункта 3 Методики проведения антикоррупционной экспертизы нормативных правовых актов, утвержденной постановлением Правительства Российской Федерации от 26.02.2010 № 96.</w:t>
      </w:r>
    </w:p>
    <w:p w:rsidR="003835FD" w:rsidRPr="003835FD" w:rsidRDefault="003835FD" w:rsidP="003835FD">
      <w:pPr>
        <w:rPr>
          <w:bCs/>
        </w:rPr>
      </w:pPr>
      <w:r w:rsidRPr="003835FD">
        <w:rPr>
          <w:bCs/>
        </w:rPr>
        <w:t>2. Согласно пункту 51 Положения сводный список утверждается руководителем департамента.</w:t>
      </w:r>
    </w:p>
    <w:p w:rsidR="003835FD" w:rsidRPr="003835FD" w:rsidRDefault="003835FD" w:rsidP="003835FD">
      <w:pPr>
        <w:rPr>
          <w:bCs/>
        </w:rPr>
      </w:pPr>
      <w:r w:rsidRPr="003835FD">
        <w:rPr>
          <w:bCs/>
        </w:rPr>
        <w:t>В Положении не определен срок, в течение которого должен быть утвержден сводный список.</w:t>
      </w:r>
    </w:p>
    <w:p w:rsidR="003835FD" w:rsidRPr="003835FD" w:rsidRDefault="003835FD" w:rsidP="003835FD">
      <w:pPr>
        <w:rPr>
          <w:bCs/>
        </w:rPr>
      </w:pPr>
      <w:r w:rsidRPr="003835FD">
        <w:rPr>
          <w:bCs/>
        </w:rPr>
        <w:t>Отсутствие или неопределенность сроков, условий или оснований принятия решения является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 в силу подпункта «а» пункта 3 Методики проведения антикоррупционной экспертизы нормативных правовых актов, утвержденной постановлением Правительства Российской Федерации от 26.02.2010 № 96.</w:t>
      </w:r>
    </w:p>
    <w:p w:rsidR="003835FD" w:rsidRPr="003835FD" w:rsidRDefault="003835FD" w:rsidP="003835FD">
      <w:pPr>
        <w:rPr>
          <w:bCs/>
        </w:rPr>
      </w:pPr>
      <w:r w:rsidRPr="003835FD">
        <w:rPr>
          <w:bCs/>
        </w:rPr>
        <w:t>3. Подпунктом 5 пункта 52 Положения установлено, что основаниями для отказа во включении граждан, молодых семей и молодых специалистов в сводный список является выявление неправомерных действий должностных лиц администраций муниципальных районов при решении вопроса о включении заявителей в списки, указанные в пункте 21 настоящего Положения. Согласно подпункту 3 пункта 53 Положения решение об исключении граждан, молодых семей и молодых специалистов из утвержденных сводных списков выносится комиссией по такому основанию, как выявление неправомерных действий должностных лиц администраций муниципальных районов при решении вопроса о включении заявителей в списки, указанные в пункте 21 настоящего Положения. Подпунктом 3 пункта 64 Положения определено, что свидетельство подлежит возврату в департамент в случае выявления неправомерных действий должностных лиц администраций муниципальных районов при решении вопроса о включении заявителей в списки, указанные в пункте 21 настоящего Положения.</w:t>
      </w:r>
    </w:p>
    <w:p w:rsidR="003835FD" w:rsidRPr="003835FD" w:rsidRDefault="003835FD" w:rsidP="003835FD">
      <w:pPr>
        <w:rPr>
          <w:bCs/>
        </w:rPr>
      </w:pPr>
      <w:r w:rsidRPr="003835FD">
        <w:rPr>
          <w:bCs/>
        </w:rPr>
        <w:t>Применяемый в указанных нормах термин «выявление неправомерных действий должностных лиц» является категорией оценочного характера, так как в Положении отсутствует его разъяснение.</w:t>
      </w:r>
    </w:p>
    <w:p w:rsidR="003835FD" w:rsidRPr="003835FD" w:rsidRDefault="003835FD" w:rsidP="003835FD">
      <w:pPr>
        <w:rPr>
          <w:bCs/>
        </w:rPr>
      </w:pPr>
      <w:r w:rsidRPr="003835FD">
        <w:rPr>
          <w:bCs/>
        </w:rPr>
        <w:t>Юридико-лингвистическая неопределенность - употребление неустоявшихся, двусмысленных терминов и категорий оценочного характера является коррупциогенным фактором в силу подпункта «в» пункта 4 Методики проведения антикоррупционной экспертизы нормативных правовых актов, утвержденной постановлением Правительства Российской Федерации от 26.02.2010 № 96.</w:t>
      </w:r>
    </w:p>
    <w:p w:rsidR="003835FD" w:rsidRPr="003835FD" w:rsidRDefault="003835FD" w:rsidP="003835FD">
      <w:pPr>
        <w:rPr>
          <w:bCs/>
        </w:rPr>
      </w:pPr>
      <w:r w:rsidRPr="003835FD">
        <w:rPr>
          <w:bCs/>
        </w:rPr>
        <w:t>4. В пункте 64 Положения определены случаи возврата свидетельства в департамент. Положением не установлен порядок возврата свидетельств, в том числе сроки возврата.</w:t>
      </w:r>
    </w:p>
    <w:p w:rsidR="003835FD" w:rsidRPr="003835FD" w:rsidRDefault="003835FD" w:rsidP="003835FD">
      <w:pPr>
        <w:rPr>
          <w:bCs/>
        </w:rPr>
      </w:pPr>
      <w:r w:rsidRPr="003835FD">
        <w:rPr>
          <w:bCs/>
        </w:rPr>
        <w:t xml:space="preserve">Отсутствие порядка совершения органами государственной власти или органами местного самоуправления (их должностными лицами) определенных действий либо одного из элементов такого порядка, отсутствие или неопределенность сроков, условий или оснований принятия решения является </w:t>
      </w:r>
      <w:r w:rsidRPr="003835FD">
        <w:rPr>
          <w:bCs/>
        </w:rPr>
        <w:lastRenderedPageBreak/>
        <w:t>коррупциогенными факторами, устанавливающими для правоприменителя необоснованно широкие пределы усмотрения или возможность необоснованного применения исключений из общих правил, в силу подпунктов «а» и «ж» пункта 3 Методики проведения антикоррупционной экспертизы нормативных правовых актов, утвержденной постановлением Правительства Российской Федерации от 26.02.2010 № 96.</w:t>
      </w:r>
    </w:p>
    <w:bookmarkEnd w:id="2"/>
    <w:p w:rsidR="003835FD" w:rsidRPr="003835FD" w:rsidRDefault="003835FD" w:rsidP="003835FD">
      <w:pPr>
        <w:rPr>
          <w:bCs/>
        </w:rPr>
      </w:pPr>
      <w:r w:rsidRPr="003835FD">
        <w:rPr>
          <w:bCs/>
        </w:rPr>
        <w:t>Текст постановления содержит юридико-технические нарушения.</w:t>
      </w:r>
    </w:p>
    <w:p w:rsidR="003835FD" w:rsidRPr="003835FD" w:rsidRDefault="003835FD" w:rsidP="003835FD">
      <w:pPr>
        <w:rPr>
          <w:bCs/>
        </w:rPr>
      </w:pPr>
      <w:r w:rsidRPr="003835FD">
        <w:rPr>
          <w:bCs/>
        </w:rPr>
        <w:t>1. Пунктом 20 Положения определено, что после подписания соглашения о порядке и условиях предоставления субсидий из федерального бюджета бюджету Костромской области между Министерством сельского хозяйства Российской Федерации и департаментом департамент в течение 3 рабочих дней уведомляет муниципальный район о подписании указанного соглашения. Муниципальный район в течение 2 рабочих дней уведомляет граждан о необходимости представления в течение 10 рабочих дней документов, указанных в подпункте 3 пункта 19 настоящего Положения.</w:t>
      </w:r>
    </w:p>
    <w:p w:rsidR="003835FD" w:rsidRPr="003835FD" w:rsidRDefault="003835FD" w:rsidP="003835FD">
      <w:pPr>
        <w:rPr>
          <w:bCs/>
        </w:rPr>
      </w:pPr>
      <w:r w:rsidRPr="003835FD">
        <w:rPr>
          <w:bCs/>
        </w:rPr>
        <w:t>Пункты 21 - 22 Положения предусматривают формирование списков граждан и сводного списка граждан, изъявивших желание улучшить жилищные условия с использованием социальных выплат, на очередной финансовый год и плановый период.</w:t>
      </w:r>
    </w:p>
    <w:p w:rsidR="003835FD" w:rsidRPr="003835FD" w:rsidRDefault="003835FD" w:rsidP="003835FD">
      <w:pPr>
        <w:rPr>
          <w:bCs/>
        </w:rPr>
      </w:pPr>
      <w:r w:rsidRPr="003835FD">
        <w:rPr>
          <w:bCs/>
        </w:rPr>
        <w:t xml:space="preserve">Подпунктом «д» пункта 3 Правил предоставления и распределения субсидий из федерального бюджета бюджетам субъектов Российской Федерации на улучшение жилищных условий граждан, проживающих в сельской местности, в том числе молодых семей и молодых специалистов, утвержденных постановлением Правительства Российской Федерации от 15.07.2013 № 598 «О федеральной целевой программе «Устойчивое развитие сельских территорий на 2014 – 2017 годы и на период до 2020 года», установлено, что </w:t>
      </w:r>
      <w:r w:rsidRPr="003835FD">
        <w:rPr>
          <w:bCs/>
          <w:i/>
        </w:rPr>
        <w:t>субсидия предоставляется бюджету субъекта Российской Федерации и расходуется при условии</w:t>
      </w:r>
      <w:bookmarkStart w:id="3" w:name="sub_13035"/>
      <w:r w:rsidRPr="003835FD">
        <w:rPr>
          <w:bCs/>
          <w:i/>
        </w:rPr>
        <w:t xml:space="preserve"> наличия сводных списков</w:t>
      </w:r>
      <w:r w:rsidRPr="003835FD">
        <w:rPr>
          <w:bCs/>
        </w:rPr>
        <w:t xml:space="preserve"> участников мероприятий - получателей социальных выплат и получателей жилья по договорам найма жилых помещений на очередной финансовый год и плановый период, предусмотренных пунктом 22 Типового положения о предоставлении социальных выплат на строительство (приобретение) жилья гражданами Российской Федерации, проживающим в сельской местности, в том числе молодым семьям и молодым специалистам, предусмотренного приложением № 4 к Программе.</w:t>
      </w:r>
    </w:p>
    <w:bookmarkEnd w:id="3"/>
    <w:p w:rsidR="003835FD" w:rsidRPr="003835FD" w:rsidRDefault="003835FD" w:rsidP="003835FD">
      <w:pPr>
        <w:rPr>
          <w:bCs/>
        </w:rPr>
      </w:pPr>
      <w:r w:rsidRPr="003835FD">
        <w:rPr>
          <w:bCs/>
        </w:rPr>
        <w:t>Таким образом, в Положении нарушен порядок действий по предоставлению социальных выплат гражданам, а именно пункты 20-22 Положения находятся в хронологически неверном порядке.</w:t>
      </w:r>
    </w:p>
    <w:p w:rsidR="003835FD" w:rsidRPr="003835FD" w:rsidRDefault="003835FD" w:rsidP="003835FD">
      <w:pPr>
        <w:rPr>
          <w:bCs/>
        </w:rPr>
      </w:pPr>
      <w:r w:rsidRPr="003835FD">
        <w:rPr>
          <w:bCs/>
        </w:rPr>
        <w:t>Предлагаем в целях устранения выявленных коррупциогенных факторов внести в Положение о предоставлении социальных выплат на строительство (приобретение) жилья гражданам Российской Федерации, проживающим в сельской местности на территории Костромской области, в том числе молодым семьям и молодым специалистам на селе, утвержденное постановлением администрации Костромской области от 22.04.2014 № 145-а «Об утверждении положения о предоставлении социальных выплат на строительство (приобретение) жилья гражданам Российской Федерации, проживающим в сельской местности на территории Костромской области, в том числе молодым семьям и молодым специалистам на селе», соответствующие изменения, а также устранить недостаточность правового регулирования и юридико-техническое нарушение.</w:t>
      </w:r>
    </w:p>
    <w:p w:rsidR="003835FD" w:rsidRPr="003835FD" w:rsidRDefault="003835FD" w:rsidP="003835FD">
      <w:pPr>
        <w:rPr>
          <w:bCs/>
        </w:rPr>
      </w:pPr>
      <w:r w:rsidRPr="003835FD">
        <w:rPr>
          <w:bCs/>
        </w:rPr>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3835FD" w:rsidRPr="003835FD" w:rsidRDefault="003835FD" w:rsidP="003835FD">
      <w:pPr>
        <w:rPr>
          <w:bCs/>
        </w:rPr>
      </w:pPr>
    </w:p>
    <w:p w:rsidR="003835FD" w:rsidRPr="003835FD" w:rsidRDefault="003835FD" w:rsidP="003835FD">
      <w:pPr>
        <w:rPr>
          <w:bCs/>
        </w:rPr>
      </w:pPr>
    </w:p>
    <w:p w:rsidR="003835FD" w:rsidRPr="003835FD" w:rsidRDefault="003835FD" w:rsidP="003835FD">
      <w:pPr>
        <w:rPr>
          <w:bCs/>
        </w:rPr>
      </w:pPr>
      <w:r w:rsidRPr="003835FD">
        <w:rPr>
          <w:bCs/>
        </w:rPr>
        <w:t>Начальник                                                                                        Л.О. Докторов</w:t>
      </w:r>
    </w:p>
    <w:p w:rsidR="003835FD" w:rsidRPr="003835FD" w:rsidRDefault="003835FD" w:rsidP="003835FD">
      <w:pPr>
        <w:rPr>
          <w:bCs/>
        </w:rPr>
      </w:pPr>
    </w:p>
    <w:p w:rsidR="003835FD" w:rsidRPr="003835FD" w:rsidRDefault="003835FD" w:rsidP="003835FD">
      <w:pPr>
        <w:rPr>
          <w:bCs/>
        </w:rPr>
      </w:pPr>
    </w:p>
    <w:p w:rsidR="003835FD" w:rsidRPr="003835FD" w:rsidRDefault="003835FD" w:rsidP="003835FD">
      <w:pPr>
        <w:rPr>
          <w:bCs/>
        </w:rPr>
      </w:pPr>
      <w:r w:rsidRPr="003835FD">
        <w:rPr>
          <w:bCs/>
        </w:rPr>
        <w:t xml:space="preserve">А.В. Ворошилова </w:t>
      </w:r>
    </w:p>
    <w:p w:rsidR="003835FD" w:rsidRPr="003835FD" w:rsidRDefault="003835FD" w:rsidP="003835FD">
      <w:r w:rsidRPr="003835FD">
        <w:t>(4942) 47-03-15</w:t>
      </w:r>
    </w:p>
    <w:p w:rsidR="003835FD" w:rsidRPr="003835FD" w:rsidRDefault="003835FD" w:rsidP="003835FD"/>
    <w:sectPr w:rsidR="003835FD" w:rsidRPr="003835FD" w:rsidSect="00CA79B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32284B"/>
    <w:rsid w:val="003835FD"/>
    <w:rsid w:val="00440C7C"/>
    <w:rsid w:val="005017E6"/>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835FD"/>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3835FD"/>
    <w:pPr>
      <w:jc w:val="center"/>
      <w:outlineLvl w:val="0"/>
    </w:pPr>
    <w:rPr>
      <w:rFonts w:cs="Arial"/>
      <w:b/>
      <w:bCs/>
      <w:kern w:val="32"/>
      <w:sz w:val="32"/>
      <w:szCs w:val="32"/>
    </w:rPr>
  </w:style>
  <w:style w:type="paragraph" w:styleId="2">
    <w:name w:val="heading 2"/>
    <w:aliases w:val="!Разделы документа"/>
    <w:basedOn w:val="a"/>
    <w:link w:val="20"/>
    <w:qFormat/>
    <w:rsid w:val="003835FD"/>
    <w:pPr>
      <w:jc w:val="center"/>
      <w:outlineLvl w:val="1"/>
    </w:pPr>
    <w:rPr>
      <w:rFonts w:cs="Arial"/>
      <w:b/>
      <w:bCs/>
      <w:iCs/>
      <w:sz w:val="30"/>
      <w:szCs w:val="28"/>
    </w:rPr>
  </w:style>
  <w:style w:type="paragraph" w:styleId="3">
    <w:name w:val="heading 3"/>
    <w:aliases w:val="!Главы документа"/>
    <w:basedOn w:val="a"/>
    <w:link w:val="30"/>
    <w:qFormat/>
    <w:rsid w:val="003835FD"/>
    <w:pPr>
      <w:outlineLvl w:val="2"/>
    </w:pPr>
    <w:rPr>
      <w:rFonts w:cs="Arial"/>
      <w:b/>
      <w:bCs/>
      <w:sz w:val="28"/>
      <w:szCs w:val="26"/>
    </w:rPr>
  </w:style>
  <w:style w:type="paragraph" w:styleId="4">
    <w:name w:val="heading 4"/>
    <w:aliases w:val="!Параграфы/Статьи документа"/>
    <w:basedOn w:val="a"/>
    <w:link w:val="40"/>
    <w:qFormat/>
    <w:rsid w:val="003835FD"/>
    <w:pPr>
      <w:outlineLvl w:val="3"/>
    </w:pPr>
    <w:rPr>
      <w:b/>
      <w:bCs/>
      <w:sz w:val="26"/>
      <w:szCs w:val="28"/>
    </w:rPr>
  </w:style>
  <w:style w:type="character" w:default="1" w:styleId="a0">
    <w:name w:val="Default Paragraph Font"/>
    <w:semiHidden/>
    <w:rsid w:val="003835F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3835FD"/>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3835FD"/>
    <w:rPr>
      <w:rFonts w:ascii="Arial" w:eastAsia="Times New Roman" w:hAnsi="Arial" w:cs="Arial"/>
      <w:b/>
      <w:bCs/>
      <w:kern w:val="32"/>
      <w:sz w:val="32"/>
      <w:szCs w:val="32"/>
    </w:rPr>
  </w:style>
  <w:style w:type="character" w:customStyle="1" w:styleId="20">
    <w:name w:val="Заголовок 2 Знак"/>
    <w:basedOn w:val="a0"/>
    <w:link w:val="2"/>
    <w:rsid w:val="003835FD"/>
    <w:rPr>
      <w:rFonts w:ascii="Arial" w:eastAsia="Times New Roman" w:hAnsi="Arial" w:cs="Arial"/>
      <w:b/>
      <w:bCs/>
      <w:iCs/>
      <w:sz w:val="30"/>
      <w:szCs w:val="28"/>
    </w:rPr>
  </w:style>
  <w:style w:type="character" w:customStyle="1" w:styleId="30">
    <w:name w:val="Заголовок 3 Знак"/>
    <w:basedOn w:val="a0"/>
    <w:link w:val="3"/>
    <w:rsid w:val="003835FD"/>
    <w:rPr>
      <w:rFonts w:ascii="Arial" w:eastAsia="Times New Roman" w:hAnsi="Arial" w:cs="Arial"/>
      <w:b/>
      <w:bCs/>
      <w:sz w:val="28"/>
      <w:szCs w:val="26"/>
    </w:rPr>
  </w:style>
  <w:style w:type="character" w:customStyle="1" w:styleId="40">
    <w:name w:val="Заголовок 4 Знак"/>
    <w:basedOn w:val="a0"/>
    <w:link w:val="4"/>
    <w:rsid w:val="003835FD"/>
    <w:rPr>
      <w:rFonts w:ascii="Arial" w:eastAsia="Times New Roman" w:hAnsi="Arial"/>
      <w:b/>
      <w:bCs/>
      <w:sz w:val="26"/>
      <w:szCs w:val="28"/>
    </w:rPr>
  </w:style>
  <w:style w:type="character" w:styleId="HTML">
    <w:name w:val="HTML Variable"/>
    <w:aliases w:val="!Ссылки в документе"/>
    <w:basedOn w:val="a0"/>
    <w:rsid w:val="003835FD"/>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835FD"/>
    <w:rPr>
      <w:rFonts w:ascii="Courier" w:hAnsi="Courier"/>
      <w:sz w:val="22"/>
      <w:szCs w:val="20"/>
    </w:rPr>
  </w:style>
  <w:style w:type="character" w:customStyle="1" w:styleId="a4">
    <w:name w:val="Текст примечания Знак"/>
    <w:basedOn w:val="a0"/>
    <w:link w:val="a3"/>
    <w:semiHidden/>
    <w:rsid w:val="003835FD"/>
    <w:rPr>
      <w:rFonts w:ascii="Courier" w:eastAsia="Times New Roman" w:hAnsi="Courier"/>
      <w:sz w:val="22"/>
    </w:rPr>
  </w:style>
  <w:style w:type="paragraph" w:customStyle="1" w:styleId="Title">
    <w:name w:val="Title!Название НПА"/>
    <w:basedOn w:val="a"/>
    <w:rsid w:val="003835FD"/>
    <w:pPr>
      <w:spacing w:before="240" w:after="60"/>
      <w:jc w:val="center"/>
      <w:outlineLvl w:val="0"/>
    </w:pPr>
    <w:rPr>
      <w:rFonts w:cs="Arial"/>
      <w:b/>
      <w:bCs/>
      <w:kern w:val="28"/>
      <w:sz w:val="32"/>
      <w:szCs w:val="32"/>
    </w:rPr>
  </w:style>
  <w:style w:type="character" w:styleId="a5">
    <w:name w:val="Hyperlink"/>
    <w:basedOn w:val="a0"/>
    <w:rsid w:val="003835FD"/>
    <w:rPr>
      <w:color w:val="0000FF"/>
      <w:u w:val="none"/>
    </w:rPr>
  </w:style>
  <w:style w:type="paragraph" w:customStyle="1" w:styleId="Application">
    <w:name w:val="Application!Приложение"/>
    <w:rsid w:val="003835FD"/>
    <w:pPr>
      <w:spacing w:before="120" w:after="120"/>
      <w:jc w:val="right"/>
    </w:pPr>
    <w:rPr>
      <w:rFonts w:ascii="Arial" w:eastAsia="Times New Roman" w:hAnsi="Arial" w:cs="Arial"/>
      <w:b/>
      <w:bCs/>
      <w:kern w:val="28"/>
      <w:sz w:val="32"/>
      <w:szCs w:val="32"/>
    </w:rPr>
  </w:style>
  <w:style w:type="paragraph" w:customStyle="1" w:styleId="Table">
    <w:name w:val="Table!Таблица"/>
    <w:rsid w:val="003835FD"/>
    <w:rPr>
      <w:rFonts w:ascii="Arial" w:eastAsia="Times New Roman" w:hAnsi="Arial" w:cs="Arial"/>
      <w:bCs/>
      <w:kern w:val="28"/>
      <w:sz w:val="24"/>
      <w:szCs w:val="32"/>
    </w:rPr>
  </w:style>
  <w:style w:type="paragraph" w:customStyle="1" w:styleId="Table0">
    <w:name w:val="Table!"/>
    <w:next w:val="Table"/>
    <w:rsid w:val="003835FD"/>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3835FD"/>
    <w:pPr>
      <w:jc w:val="center"/>
    </w:pPr>
    <w:rPr>
      <w:rFonts w:ascii="Arial" w:eastAsia="Times New Roman" w:hAnsi="Arial" w:cs="Arial"/>
      <w:bCs/>
      <w:kern w:val="28"/>
      <w:sz w:val="24"/>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91e7be06-9a84-4cff-931d-1df8bc2444aa.html" TargetMode="External"/><Relationship Id="rId3" Type="http://schemas.openxmlformats.org/officeDocument/2006/relationships/settings" Target="settings.xml"/><Relationship Id="rId7" Type="http://schemas.openxmlformats.org/officeDocument/2006/relationships/hyperlink" Target="file:///C:\content\act\5724afaa-4194-470c-8df3-8737d9c801c7.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Documents%20and%20Settings\&#1045;&#1083;&#1077;&#1085;&#1072;\Application%20Data\Microsoft\content\act\370ba400-14c4-4cdb-8a8b-b11f2a1a2f55.html" TargetMode="External"/><Relationship Id="rId11" Type="http://schemas.openxmlformats.org/officeDocument/2006/relationships/fontTable" Target="fontTable.xml"/><Relationship Id="rId5" Type="http://schemas.openxmlformats.org/officeDocument/2006/relationships/hyperlink" Target="file:///C:\content\act\15d4560c-d530-4955-bf7e-f734337ae80b.html" TargetMode="External"/><Relationship Id="rId10" Type="http://schemas.openxmlformats.org/officeDocument/2006/relationships/hyperlink" Target="file:///C:\content\act\07120b89-d89e-494f-8db9-61ba2013cc22.html" TargetMode="External"/><Relationship Id="rId4" Type="http://schemas.openxmlformats.org/officeDocument/2006/relationships/webSettings" Target="webSettings.xml"/><Relationship Id="rId9" Type="http://schemas.openxmlformats.org/officeDocument/2006/relationships/hyperlink" Target="file:///C:\content\act\9aa48369-618a-4bb4-b4b8-ae15f2b7ebf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7FEC0D-0597-493E-84C0-C85B44C66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6</Pages>
  <Words>2415</Words>
  <Characters>13771</Characters>
  <Application>Microsoft Office Word</Application>
  <DocSecurity>0</DocSecurity>
  <Lines>114</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Пользователь</cp:lastModifiedBy>
  <cp:revision>2</cp:revision>
  <dcterms:created xsi:type="dcterms:W3CDTF">2015-07-29T10:34:00Z</dcterms:created>
  <dcterms:modified xsi:type="dcterms:W3CDTF">2015-07-29T10:34:00Z</dcterms:modified>
</cp:coreProperties>
</file>