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0"/>
        <w:tblW w:w="4928" w:type="dxa"/>
        <w:tblLayout w:type="fixed"/>
        <w:tblLook w:val="0000"/>
      </w:tblPr>
      <w:tblGrid>
        <w:gridCol w:w="4928"/>
      </w:tblGrid>
      <w:tr w:rsidR="00087E87" w:rsidRPr="00087E87" w:rsidTr="00A4214B">
        <w:trPr>
          <w:trHeight w:val="3576"/>
        </w:trPr>
        <w:tc>
          <w:tcPr>
            <w:tcW w:w="4928" w:type="dxa"/>
          </w:tcPr>
          <w:p w:rsidR="00087E87" w:rsidRPr="00087E87" w:rsidRDefault="00087E87" w:rsidP="00087E87">
            <w:pPr>
              <w:ind w:firstLine="709"/>
              <w:jc w:val="center"/>
            </w:pPr>
            <w:r w:rsidRPr="00087E87">
              <w:rPr>
                <w:szCs w:val="22"/>
              </w:rPr>
              <w:t>МИНИСТЕРСТВО ЮСТИЦИИ</w:t>
            </w:r>
          </w:p>
          <w:p w:rsidR="00087E87" w:rsidRPr="00087E87" w:rsidRDefault="00087E87" w:rsidP="00087E87">
            <w:pPr>
              <w:ind w:firstLine="709"/>
              <w:jc w:val="center"/>
            </w:pPr>
            <w:r w:rsidRPr="00087E87">
              <w:rPr>
                <w:szCs w:val="22"/>
              </w:rPr>
              <w:t>РОССИЙСКОЙ ФЕДЕРАЦИИ</w:t>
            </w:r>
          </w:p>
          <w:p w:rsidR="00087E87" w:rsidRPr="00087E87" w:rsidRDefault="00087E87" w:rsidP="00087E87">
            <w:pPr>
              <w:ind w:firstLine="709"/>
              <w:jc w:val="center"/>
            </w:pPr>
            <w:r w:rsidRPr="00087E87">
              <w:t>(МИНЮСТ РОССИИ)</w:t>
            </w:r>
          </w:p>
          <w:p w:rsidR="00087E87" w:rsidRPr="00087E87" w:rsidRDefault="00087E87" w:rsidP="00087E87">
            <w:pPr>
              <w:ind w:firstLine="709"/>
              <w:jc w:val="center"/>
            </w:pPr>
            <w:r w:rsidRPr="00087E87">
              <w:rPr>
                <w:szCs w:val="22"/>
              </w:rPr>
              <w:t>Управление Министерства</w:t>
            </w:r>
          </w:p>
          <w:p w:rsidR="00087E87" w:rsidRPr="00087E87" w:rsidRDefault="00087E87" w:rsidP="00087E87">
            <w:pPr>
              <w:ind w:firstLine="709"/>
              <w:jc w:val="center"/>
            </w:pPr>
            <w:r w:rsidRPr="00087E87">
              <w:rPr>
                <w:szCs w:val="22"/>
              </w:rPr>
              <w:t>юстиции Российской Федерации</w:t>
            </w:r>
          </w:p>
          <w:p w:rsidR="00087E87" w:rsidRPr="00087E87" w:rsidRDefault="00087E87" w:rsidP="00087E87">
            <w:pPr>
              <w:ind w:firstLine="709"/>
              <w:jc w:val="center"/>
            </w:pPr>
            <w:r w:rsidRPr="00087E87">
              <w:rPr>
                <w:szCs w:val="22"/>
              </w:rPr>
              <w:t>по Костромской области</w:t>
            </w:r>
          </w:p>
          <w:p w:rsidR="00087E87" w:rsidRPr="00087E87" w:rsidRDefault="00087E87" w:rsidP="00087E87">
            <w:pPr>
              <w:ind w:firstLine="709"/>
              <w:jc w:val="center"/>
            </w:pPr>
          </w:p>
          <w:p w:rsidR="00087E87" w:rsidRPr="00087E87" w:rsidRDefault="00087E87" w:rsidP="00087E87">
            <w:pPr>
              <w:ind w:firstLine="709"/>
              <w:jc w:val="center"/>
            </w:pPr>
            <w:r w:rsidRPr="00087E87">
              <w:t>ул. Симановского, д. 105</w:t>
            </w:r>
          </w:p>
          <w:p w:rsidR="00087E87" w:rsidRPr="00087E87" w:rsidRDefault="00087E87" w:rsidP="00087E87">
            <w:pPr>
              <w:ind w:firstLine="709"/>
              <w:jc w:val="center"/>
            </w:pPr>
            <w:r w:rsidRPr="00087E87">
              <w:t>г. Кострома, 156002</w:t>
            </w:r>
          </w:p>
          <w:p w:rsidR="00087E87" w:rsidRPr="00087E87" w:rsidRDefault="00087E87" w:rsidP="00087E87">
            <w:pPr>
              <w:ind w:firstLine="709"/>
              <w:jc w:val="center"/>
            </w:pPr>
            <w:r w:rsidRPr="00087E87">
              <w:t>Тел./факс: (4942) 45-42-22</w:t>
            </w:r>
          </w:p>
          <w:p w:rsidR="00087E87" w:rsidRPr="00087E87" w:rsidRDefault="00087E87" w:rsidP="00087E87">
            <w:pPr>
              <w:ind w:firstLine="709"/>
              <w:jc w:val="center"/>
            </w:pPr>
            <w:r w:rsidRPr="00087E87">
              <w:rPr>
                <w:lang w:val="en-US"/>
              </w:rPr>
              <w:t>e</w:t>
            </w:r>
            <w:r w:rsidRPr="00087E87">
              <w:t>-</w:t>
            </w:r>
            <w:r w:rsidRPr="00087E87">
              <w:rPr>
                <w:lang w:val="en-US"/>
              </w:rPr>
              <w:t>mail</w:t>
            </w:r>
            <w:r w:rsidRPr="00087E87">
              <w:t xml:space="preserve">: </w:t>
            </w:r>
            <w:r w:rsidRPr="00087E87">
              <w:rPr>
                <w:lang w:val="en-US"/>
              </w:rPr>
              <w:t>uprjust</w:t>
            </w:r>
            <w:r w:rsidRPr="00087E87">
              <w:t>44@</w:t>
            </w:r>
            <w:r w:rsidRPr="00087E87">
              <w:rPr>
                <w:lang w:val="en-US"/>
              </w:rPr>
              <w:t>kmtn</w:t>
            </w:r>
            <w:r w:rsidRPr="00087E87">
              <w:t>.</w:t>
            </w:r>
            <w:r w:rsidRPr="00087E87">
              <w:rPr>
                <w:lang w:val="en-US"/>
              </w:rPr>
              <w:t>ru</w:t>
            </w:r>
          </w:p>
          <w:p w:rsidR="00087E87" w:rsidRPr="00087E87" w:rsidRDefault="00087E87" w:rsidP="00087E87">
            <w:pPr>
              <w:ind w:firstLine="709"/>
              <w:jc w:val="center"/>
            </w:pPr>
          </w:p>
          <w:p w:rsidR="00087E87" w:rsidRPr="00087E87" w:rsidRDefault="00087E87" w:rsidP="00087E87">
            <w:pPr>
              <w:ind w:firstLine="709"/>
              <w:jc w:val="center"/>
            </w:pPr>
            <w:r>
              <w:t xml:space="preserve">17.06.2014  </w:t>
            </w:r>
            <w:r w:rsidRPr="00087E87">
              <w:t>№</w:t>
            </w:r>
            <w:r>
              <w:t xml:space="preserve">  44/04-1836</w:t>
            </w:r>
          </w:p>
          <w:p w:rsidR="00087E87" w:rsidRPr="00087E87" w:rsidRDefault="00087E87" w:rsidP="00087E87">
            <w:pPr>
              <w:ind w:firstLine="709"/>
              <w:jc w:val="center"/>
            </w:pPr>
          </w:p>
          <w:p w:rsidR="00087E87" w:rsidRPr="00087E87" w:rsidRDefault="00087E87" w:rsidP="00087E87">
            <w:pPr>
              <w:ind w:firstLine="709"/>
              <w:jc w:val="center"/>
            </w:pPr>
            <w:r w:rsidRPr="00087E87">
              <w:t>На № _______ от ___________</w:t>
            </w:r>
          </w:p>
        </w:tc>
      </w:tr>
    </w:tbl>
    <w:p w:rsidR="00087E87" w:rsidRPr="00087E87" w:rsidRDefault="00087E87" w:rsidP="00087E87">
      <w:pPr>
        <w:ind w:firstLine="709"/>
        <w:rPr>
          <w:szCs w:val="28"/>
        </w:rPr>
      </w:pPr>
    </w:p>
    <w:p w:rsidR="00087E87" w:rsidRPr="00087E87" w:rsidRDefault="00087E87" w:rsidP="00087E87">
      <w:pPr>
        <w:ind w:firstLine="709"/>
        <w:jc w:val="center"/>
        <w:rPr>
          <w:szCs w:val="28"/>
        </w:rPr>
      </w:pPr>
      <w:r w:rsidRPr="00087E87">
        <w:rPr>
          <w:szCs w:val="28"/>
        </w:rPr>
        <w:t>Директору департамента</w:t>
      </w:r>
    </w:p>
    <w:p w:rsidR="00087E87" w:rsidRPr="00087E87" w:rsidRDefault="00087E87" w:rsidP="00087E87">
      <w:pPr>
        <w:ind w:firstLine="709"/>
        <w:jc w:val="center"/>
        <w:rPr>
          <w:szCs w:val="28"/>
        </w:rPr>
      </w:pPr>
      <w:r w:rsidRPr="00087E87">
        <w:rPr>
          <w:szCs w:val="28"/>
        </w:rPr>
        <w:t>социальной защиты населения,</w:t>
      </w:r>
    </w:p>
    <w:p w:rsidR="00087E87" w:rsidRPr="00087E87" w:rsidRDefault="00087E87" w:rsidP="00087E87">
      <w:pPr>
        <w:ind w:firstLine="709"/>
        <w:jc w:val="center"/>
        <w:rPr>
          <w:szCs w:val="28"/>
        </w:rPr>
      </w:pPr>
      <w:r w:rsidRPr="00087E87">
        <w:rPr>
          <w:szCs w:val="28"/>
        </w:rPr>
        <w:t>опеки и попечительства</w:t>
      </w:r>
    </w:p>
    <w:p w:rsidR="00087E87" w:rsidRPr="00087E87" w:rsidRDefault="00087E87" w:rsidP="00087E87">
      <w:pPr>
        <w:ind w:firstLine="709"/>
        <w:jc w:val="center"/>
        <w:rPr>
          <w:szCs w:val="28"/>
        </w:rPr>
      </w:pPr>
      <w:r w:rsidRPr="00087E87">
        <w:rPr>
          <w:szCs w:val="28"/>
        </w:rPr>
        <w:t>Костромской области</w:t>
      </w:r>
    </w:p>
    <w:p w:rsidR="00087E87" w:rsidRPr="00087E87" w:rsidRDefault="00087E87" w:rsidP="00087E87">
      <w:pPr>
        <w:ind w:firstLine="709"/>
        <w:jc w:val="center"/>
        <w:rPr>
          <w:szCs w:val="28"/>
        </w:rPr>
      </w:pPr>
    </w:p>
    <w:p w:rsidR="00087E87" w:rsidRPr="00087E87" w:rsidRDefault="00087E87" w:rsidP="00087E87">
      <w:pPr>
        <w:ind w:firstLine="709"/>
        <w:jc w:val="center"/>
        <w:rPr>
          <w:szCs w:val="28"/>
        </w:rPr>
      </w:pPr>
      <w:r w:rsidRPr="00087E87">
        <w:rPr>
          <w:szCs w:val="28"/>
        </w:rPr>
        <w:t>И.В. Прудникову</w:t>
      </w:r>
    </w:p>
    <w:p w:rsidR="00087E87" w:rsidRPr="00087E87" w:rsidRDefault="00087E87" w:rsidP="00087E87">
      <w:pPr>
        <w:ind w:firstLine="709"/>
        <w:rPr>
          <w:szCs w:val="28"/>
        </w:rPr>
      </w:pPr>
    </w:p>
    <w:p w:rsidR="00087E87" w:rsidRPr="00087E87" w:rsidRDefault="00087E87" w:rsidP="00087E87">
      <w:pPr>
        <w:ind w:firstLine="709"/>
        <w:rPr>
          <w:szCs w:val="26"/>
        </w:rPr>
      </w:pPr>
    </w:p>
    <w:p w:rsidR="00087E87" w:rsidRPr="00087E87" w:rsidRDefault="00087E87" w:rsidP="00087E87">
      <w:pPr>
        <w:ind w:firstLine="709"/>
        <w:rPr>
          <w:szCs w:val="26"/>
        </w:rPr>
      </w:pPr>
    </w:p>
    <w:p w:rsidR="00087E87" w:rsidRPr="00087E87" w:rsidRDefault="00087E87" w:rsidP="00087E87">
      <w:pPr>
        <w:ind w:firstLine="709"/>
        <w:rPr>
          <w:szCs w:val="26"/>
        </w:rPr>
      </w:pPr>
    </w:p>
    <w:p w:rsidR="00087E87" w:rsidRDefault="00087E87" w:rsidP="00087E87">
      <w:pPr>
        <w:ind w:firstLine="709"/>
        <w:rPr>
          <w:szCs w:val="26"/>
        </w:rPr>
      </w:pPr>
    </w:p>
    <w:p w:rsidR="00087E87" w:rsidRDefault="00087E87" w:rsidP="00087E87">
      <w:pPr>
        <w:ind w:firstLine="709"/>
        <w:rPr>
          <w:szCs w:val="26"/>
        </w:rPr>
      </w:pPr>
    </w:p>
    <w:p w:rsidR="00087E87" w:rsidRPr="00087E87" w:rsidRDefault="00087E87" w:rsidP="00087E87">
      <w:pPr>
        <w:ind w:firstLine="709"/>
        <w:rPr>
          <w:szCs w:val="26"/>
        </w:rPr>
      </w:pPr>
    </w:p>
    <w:p w:rsidR="00087E87" w:rsidRPr="00087E87" w:rsidRDefault="00087E87" w:rsidP="00087E87">
      <w:pPr>
        <w:ind w:firstLine="709"/>
        <w:rPr>
          <w:szCs w:val="26"/>
        </w:rPr>
      </w:pPr>
    </w:p>
    <w:p w:rsidR="00087E87" w:rsidRPr="00087E87" w:rsidRDefault="00087E87" w:rsidP="00087E87">
      <w:pPr>
        <w:ind w:firstLine="709"/>
        <w:rPr>
          <w:szCs w:val="26"/>
        </w:rPr>
      </w:pPr>
    </w:p>
    <w:p w:rsidR="00087E87" w:rsidRPr="00087E87" w:rsidRDefault="00087E87" w:rsidP="00087E87">
      <w:pPr>
        <w:ind w:firstLine="709"/>
        <w:rPr>
          <w:szCs w:val="26"/>
        </w:rPr>
      </w:pPr>
    </w:p>
    <w:p w:rsidR="00087E87" w:rsidRPr="00087E87" w:rsidRDefault="00087E87" w:rsidP="00087E87">
      <w:pPr>
        <w:ind w:firstLine="709"/>
        <w:jc w:val="center"/>
        <w:rPr>
          <w:szCs w:val="26"/>
        </w:rPr>
      </w:pPr>
      <w:r w:rsidRPr="00087E87">
        <w:rPr>
          <w:szCs w:val="26"/>
        </w:rPr>
        <w:t>“16” июня  2014                                                                               № 12305</w:t>
      </w:r>
    </w:p>
    <w:p w:rsidR="00087E87" w:rsidRPr="00087E87" w:rsidRDefault="00087E87" w:rsidP="00087E87">
      <w:pPr>
        <w:ind w:firstLine="709"/>
        <w:jc w:val="center"/>
        <w:rPr>
          <w:szCs w:val="28"/>
        </w:rPr>
      </w:pPr>
    </w:p>
    <w:p w:rsidR="00087E87" w:rsidRPr="00087E87" w:rsidRDefault="00087E87" w:rsidP="00087E87">
      <w:pPr>
        <w:pStyle w:val="1"/>
        <w:ind w:firstLine="709"/>
        <w:rPr>
          <w:bCs w:val="0"/>
          <w:sz w:val="24"/>
          <w:szCs w:val="28"/>
        </w:rPr>
      </w:pPr>
      <w:r w:rsidRPr="00087E87">
        <w:rPr>
          <w:bCs w:val="0"/>
          <w:sz w:val="24"/>
          <w:szCs w:val="28"/>
        </w:rPr>
        <w:t>ЭКСПЕРТНОЕ ЗАКЛЮЧЕНИЕ</w:t>
      </w:r>
    </w:p>
    <w:p w:rsidR="00087E87" w:rsidRPr="00087E87" w:rsidRDefault="00087E87" w:rsidP="00087E87">
      <w:pPr>
        <w:ind w:firstLine="709"/>
        <w:jc w:val="center"/>
        <w:rPr>
          <w:bCs/>
          <w:szCs w:val="28"/>
        </w:rPr>
      </w:pPr>
      <w:r w:rsidRPr="00087E87">
        <w:rPr>
          <w:bCs/>
          <w:szCs w:val="28"/>
        </w:rPr>
        <w:t>по результатам проведения правовой экспертизы</w:t>
      </w:r>
    </w:p>
    <w:p w:rsidR="00087E87" w:rsidRPr="00087E87" w:rsidRDefault="00087E87" w:rsidP="00087E87">
      <w:pPr>
        <w:pStyle w:val="11"/>
        <w:spacing w:before="0" w:after="0"/>
        <w:ind w:firstLine="709"/>
        <w:rPr>
          <w:rFonts w:cs="Times New Roman"/>
          <w:b w:val="0"/>
          <w:sz w:val="24"/>
          <w:szCs w:val="28"/>
        </w:rPr>
      </w:pPr>
    </w:p>
    <w:p w:rsidR="00087E87" w:rsidRPr="00087E87" w:rsidRDefault="00087E87" w:rsidP="00087E87">
      <w:pPr>
        <w:ind w:firstLine="709"/>
        <w:jc w:val="center"/>
        <w:rPr>
          <w:b/>
          <w:szCs w:val="28"/>
        </w:rPr>
      </w:pPr>
      <w:r w:rsidRPr="00087E87">
        <w:rPr>
          <w:b/>
          <w:szCs w:val="28"/>
        </w:rPr>
        <w:t>на приказ департамента социальной защиты населения, опеки и попечительства Костромской области от 13.05.2013 № 221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22.08.2013 № 446, от 14.05.2014 № 236)</w:t>
      </w:r>
    </w:p>
    <w:p w:rsidR="00087E87" w:rsidRPr="00087E87" w:rsidRDefault="00087E87" w:rsidP="00087E87">
      <w:pPr>
        <w:ind w:firstLine="709"/>
        <w:rPr>
          <w:szCs w:val="28"/>
        </w:rPr>
      </w:pPr>
    </w:p>
    <w:p w:rsidR="00087E87" w:rsidRPr="00087E87" w:rsidRDefault="00087E87" w:rsidP="00087E87">
      <w:pPr>
        <w:ind w:firstLine="709"/>
        <w:rPr>
          <w:szCs w:val="28"/>
        </w:rPr>
      </w:pPr>
    </w:p>
    <w:p w:rsidR="00087E87" w:rsidRPr="00087E87" w:rsidRDefault="00087E87" w:rsidP="00087E87">
      <w:pPr>
        <w:ind w:firstLine="709"/>
        <w:rPr>
          <w:szCs w:val="28"/>
        </w:rPr>
      </w:pPr>
      <w:r w:rsidRPr="00087E87">
        <w:rPr>
          <w:szCs w:val="28"/>
        </w:rPr>
        <w:t>Управление Министерства юстиции Российской Федерации по Костромской области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 приказа департамента социальной защиты населения, опеки и попечительства Костромской области от 13.05.2013 № 221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22.08.2013 № 446, от 14.05.2014 № 236) (далее - приказ).</w:t>
      </w:r>
    </w:p>
    <w:p w:rsidR="00087E87" w:rsidRPr="00087E87" w:rsidRDefault="00087E87" w:rsidP="00087E87">
      <w:pPr>
        <w:ind w:firstLine="709"/>
        <w:rPr>
          <w:szCs w:val="28"/>
        </w:rPr>
      </w:pPr>
      <w:r w:rsidRPr="00087E87">
        <w:rPr>
          <w:szCs w:val="28"/>
        </w:rPr>
        <w:t>Поводом проведения правовой экспертизы является внесение изменений в рассматриваемый нормативный правовой акт.</w:t>
      </w:r>
    </w:p>
    <w:p w:rsidR="00087E87" w:rsidRPr="00087E87" w:rsidRDefault="00087E87" w:rsidP="00087E87">
      <w:pPr>
        <w:ind w:firstLine="709"/>
        <w:rPr>
          <w:szCs w:val="28"/>
        </w:rPr>
      </w:pPr>
      <w:r w:rsidRPr="00087E87">
        <w:rPr>
          <w:szCs w:val="28"/>
        </w:rPr>
        <w:t xml:space="preserve">В целях повышения качества предоставления и доступности государственной услуги, создания комфортных условий для участников отношений, возникающих при предоставлении государственной услуги, настоящим приказом утверждён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по назначению ежемесячной денежной компенсации, установленной частями 9,10 и 13 статьи 3 Федерального закона «О денежном довольствии военнослужащих и </w:t>
      </w:r>
      <w:r w:rsidRPr="00087E87">
        <w:rPr>
          <w:szCs w:val="28"/>
        </w:rPr>
        <w:lastRenderedPageBreak/>
        <w:t>предоставлении им отдельных выплат»,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w:t>
      </w:r>
    </w:p>
    <w:p w:rsidR="00087E87" w:rsidRPr="00087E87" w:rsidRDefault="00087E87" w:rsidP="00087E87">
      <w:pPr>
        <w:ind w:firstLine="709"/>
        <w:rPr>
          <w:szCs w:val="28"/>
        </w:rPr>
      </w:pPr>
      <w:r w:rsidRPr="00087E87">
        <w:rPr>
          <w:szCs w:val="28"/>
        </w:rPr>
        <w:t>Таким образом, предметом правового регулирования приказа являются правоотношения, складывающиеся при предоставлении государственной услуги в сфере социальной защиты населения.</w:t>
      </w:r>
    </w:p>
    <w:p w:rsidR="00087E87" w:rsidRPr="00087E87" w:rsidRDefault="00087E87" w:rsidP="00087E87">
      <w:pPr>
        <w:ind w:firstLine="709"/>
        <w:rPr>
          <w:szCs w:val="28"/>
        </w:rPr>
      </w:pPr>
      <w:r w:rsidRPr="00087E87">
        <w:rPr>
          <w:szCs w:val="28"/>
        </w:rPr>
        <w:t>В соответствии с пунктами «ж» и «н» части 1 статьи 72 Конституции Российской Федерации социальная защита, включая социальное обеспечение;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w:t>
      </w:r>
    </w:p>
    <w:p w:rsidR="00087E87" w:rsidRPr="00087E87" w:rsidRDefault="00087E87" w:rsidP="00087E87">
      <w:pPr>
        <w:ind w:firstLine="709"/>
        <w:rPr>
          <w:szCs w:val="28"/>
        </w:rPr>
      </w:pPr>
      <w:r w:rsidRPr="00087E87">
        <w:rPr>
          <w:szCs w:val="28"/>
        </w:rPr>
        <w:t>Согласно части 2 статьи 76 Конституции Российской Федерации по предметам совместного ведения Российской Федерации и субъектов Российской Федерации принимаются федеральные законы и принимаемые в соответствии с ними законы и иные нормативные правовые акты субъектов Российской Федерации.</w:t>
      </w:r>
    </w:p>
    <w:p w:rsidR="00087E87" w:rsidRPr="00087E87" w:rsidRDefault="00087E87" w:rsidP="00087E87">
      <w:pPr>
        <w:ind w:firstLine="709"/>
        <w:rPr>
          <w:szCs w:val="28"/>
        </w:rPr>
      </w:pPr>
      <w:r w:rsidRPr="00087E87">
        <w:rPr>
          <w:szCs w:val="28"/>
        </w:rPr>
        <w:t xml:space="preserve">Частями 9, 10, 13 статьи 3 Федерального закона от 07.11.2011 № 306-ФЗ «О денежном довольствии военнослужащих и предоставлении им отдельных выплат» установлено, что в случае гибели (смерти) военнослужащего или гражданина, призванного на военные сборы, наступившей при исполнении им обязанностей военной службы, либо смерти, наступившей вследствие военной травмы, каждому члену его семьи выплачивается ежемесячная денежная компенсация, которая рассчитывается путем деления ежемесячной денежной компенсации, установленной </w:t>
      </w:r>
      <w:hyperlink w:anchor="Par2" w:history="1">
        <w:r w:rsidRPr="00087E87">
          <w:rPr>
            <w:szCs w:val="28"/>
          </w:rPr>
          <w:t>частью 13</w:t>
        </w:r>
      </w:hyperlink>
      <w:r w:rsidRPr="00087E87">
        <w:rPr>
          <w:szCs w:val="28"/>
        </w:rPr>
        <w:t xml:space="preserve"> настоящей статьи для инвалида I группы, на количество членов семьи (включая погибшего (умершего) военнослужащего или гражданина, проходившего военные сборы); каждому члену семьи инвалида вследствие военной травмы в случае его смерти (гибели) выплачивается ежемесячная денежная компенсация, которая рассчитывается путем деления ежемесячной денежной компенсации, установленной </w:t>
      </w:r>
      <w:hyperlink w:anchor="Par2" w:history="1">
        <w:r w:rsidRPr="00087E87">
          <w:rPr>
            <w:szCs w:val="28"/>
          </w:rPr>
          <w:t>частью 13</w:t>
        </w:r>
      </w:hyperlink>
      <w:r w:rsidRPr="00087E87">
        <w:rPr>
          <w:szCs w:val="28"/>
        </w:rPr>
        <w:t xml:space="preserve"> настоящей статьи для инвалида соответствующей группы, на количество членов семьи (включая умершего (погибшего) инвалида); </w:t>
      </w:r>
      <w:bookmarkStart w:id="0" w:name="Par2"/>
      <w:bookmarkEnd w:id="0"/>
      <w:r w:rsidRPr="00087E87">
        <w:rPr>
          <w:szCs w:val="28"/>
        </w:rPr>
        <w:t>при установлении военнослужащему или гражданину, призванному на военные сборы, в период прохождения военной службы (военных сборов) либо после увольнения с военной службы (отчисления с военных сборов или окончания военных сборов) инвалидности вследствие военной травмы ему выплачивается ежемесячная денежная компенсация в возмещение вреда, причиненного его здоровью.</w:t>
      </w:r>
    </w:p>
    <w:p w:rsidR="00087E87" w:rsidRPr="00087E87" w:rsidRDefault="00087E87" w:rsidP="00087E87">
      <w:pPr>
        <w:ind w:firstLine="709"/>
        <w:rPr>
          <w:szCs w:val="28"/>
        </w:rPr>
      </w:pPr>
      <w:r w:rsidRPr="00087E87">
        <w:rPr>
          <w:szCs w:val="28"/>
        </w:rPr>
        <w:t xml:space="preserve">В соответствии с частью 17 статьи 3 Федерального закона от 07.11.2011 № 306-ФЗ «О денежном довольствии военнослужащих и предоставлении им отдельных выплат» порядок финансирования и осуществления выплат, установленных частями 9, </w:t>
      </w:r>
      <w:hyperlink r:id="rId7" w:tgtFrame="_self" w:history="1">
        <w:r w:rsidRPr="00087E87">
          <w:rPr>
            <w:szCs w:val="28"/>
          </w:rPr>
          <w:t>10</w:t>
        </w:r>
      </w:hyperlink>
      <w:r w:rsidRPr="00087E87">
        <w:rPr>
          <w:szCs w:val="28"/>
        </w:rPr>
        <w:t xml:space="preserve"> и </w:t>
      </w:r>
      <w:hyperlink r:id="rId8" w:tgtFrame="_self" w:history="1">
        <w:r w:rsidRPr="00087E87">
          <w:rPr>
            <w:szCs w:val="28"/>
          </w:rPr>
          <w:t>13</w:t>
        </w:r>
      </w:hyperlink>
      <w:r w:rsidRPr="00087E87">
        <w:rPr>
          <w:szCs w:val="28"/>
        </w:rPr>
        <w:t xml:space="preserve"> настоящей статьи, определяется Правительством Российской Федерации.</w:t>
      </w:r>
    </w:p>
    <w:p w:rsidR="00087E87" w:rsidRPr="00087E87" w:rsidRDefault="00087E87" w:rsidP="00087E87">
      <w:pPr>
        <w:ind w:firstLine="709"/>
        <w:rPr>
          <w:szCs w:val="28"/>
        </w:rPr>
      </w:pPr>
      <w:r w:rsidRPr="00087E87">
        <w:rPr>
          <w:szCs w:val="28"/>
        </w:rPr>
        <w:t>Согласно пункту 3 Правил выплаты ежемесячной денежной компенсации, установленной частями 9, 10 и 13 статьи 3 Федерального закона «О денежном довольствии военнослужащих и предоставлении им отдельных выплат»,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 утвержденных постановлением Правительства РФ от 22.02.2012 № 142 «О финансовом обеспечении и об осуществлении выплаты ежемесячной денежной компенсации, установленной частями 9, 10 и 13 статьи 3 Федерального закона «О денежном довольствии военнослужащих и предоставлении им отдельных выплат» назначение ежемесячной денежной компенсации осуществляется органом в сфере социальной защиты населения, уполномоченным органом государственной власти субъекта Российской Федерации в соответствии с законодательством субъекта Российской Федерации.</w:t>
      </w:r>
    </w:p>
    <w:p w:rsidR="00087E87" w:rsidRPr="00087E87" w:rsidRDefault="00087E87" w:rsidP="00087E87">
      <w:pPr>
        <w:ind w:firstLine="709"/>
        <w:rPr>
          <w:szCs w:val="28"/>
        </w:rPr>
      </w:pPr>
      <w:r w:rsidRPr="00087E87">
        <w:rPr>
          <w:szCs w:val="28"/>
        </w:rPr>
        <w:t xml:space="preserve">Подпунктом 16 пункта 32.1 Положения о департаменте социальной защиты населения, опеки и попечительства Костромской области, утвержденного </w:t>
      </w:r>
      <w:r w:rsidRPr="00087E87">
        <w:rPr>
          <w:szCs w:val="28"/>
        </w:rPr>
        <w:lastRenderedPageBreak/>
        <w:t xml:space="preserve">постановлением губернатора Костромской области от 20.12.2007 № 532 «О департаменте социальной защиты населения, опеки и попечительства Костромской области» к функциям департамента социальной защиты населения, опеки и попечительства Костромской области отнесено назначение ежемесячной денежной компенсации, установленной частями 9, </w:t>
      </w:r>
      <w:hyperlink r:id="rId9" w:tgtFrame="_self" w:history="1">
        <w:r w:rsidRPr="00087E87">
          <w:rPr>
            <w:szCs w:val="28"/>
          </w:rPr>
          <w:t>10</w:t>
        </w:r>
      </w:hyperlink>
      <w:r w:rsidRPr="00087E87">
        <w:rPr>
          <w:szCs w:val="28"/>
        </w:rPr>
        <w:t xml:space="preserve"> и 13 статьи 3 Федерального закона «О денежном довольствии военнослужащих и предоставлении им отдельных выплат»,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w:t>
      </w:r>
    </w:p>
    <w:p w:rsidR="00087E87" w:rsidRPr="00087E87" w:rsidRDefault="00087E87" w:rsidP="00087E87">
      <w:pPr>
        <w:ind w:firstLine="709"/>
        <w:rPr>
          <w:szCs w:val="28"/>
        </w:rPr>
      </w:pPr>
      <w:r w:rsidRPr="00087E87">
        <w:rPr>
          <w:szCs w:val="28"/>
        </w:rPr>
        <w:t>В соответствии с частью 1 статьи 12 Федерального закона от 27.07.2010 № 210-ФЗ «Об организации предоставления государственных и муниципальных услуг» предоставление государственных услуг осуществляется в соответствии с административными регламентами.</w:t>
      </w:r>
    </w:p>
    <w:p w:rsidR="00087E87" w:rsidRPr="00087E87" w:rsidRDefault="00087E87" w:rsidP="00087E87">
      <w:pPr>
        <w:ind w:firstLine="709"/>
        <w:rPr>
          <w:szCs w:val="28"/>
        </w:rPr>
      </w:pPr>
      <w:r w:rsidRPr="00087E87">
        <w:rPr>
          <w:szCs w:val="28"/>
        </w:rPr>
        <w:t>Пунктом 2 Порядка разработки и утверждения административных регламентов исполнения государственных функций и предоставления государственных услуг, утвержденного постановлением администрации Костромской области от 11.05.2012 № 175-а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установлено, что регламенты разрабатываются исполнительными органами государственной власти Костромской области, к сфере деятельности которых относится исполнение государственной функции, предоставление государственной услуги, в соответствии с федеральными законами, нормативными правовыми актами Президента Российской Федерации и Правительства Российской Федерации, законами и иными нормативными правовыми актами Костромской области, устанавливающими критерии, сроки и последовательность выполнения административных процедур (действий) и (или) принятия решений, а также иные требования к порядку исполнения государственных функций, предоставления государственных услуг.</w:t>
      </w:r>
    </w:p>
    <w:p w:rsidR="00087E87" w:rsidRPr="00087E87" w:rsidRDefault="00087E87" w:rsidP="00087E87">
      <w:pPr>
        <w:ind w:firstLine="709"/>
        <w:rPr>
          <w:szCs w:val="28"/>
        </w:rPr>
      </w:pPr>
      <w:r w:rsidRPr="00087E87">
        <w:rPr>
          <w:szCs w:val="28"/>
        </w:rPr>
        <w:t>Таким образом, данный приказ принят департаментом социальной защиты населения, опеки и попечительства Костромской области в пределах своих полномочий.</w:t>
      </w:r>
    </w:p>
    <w:p w:rsidR="00087E87" w:rsidRPr="00087E87" w:rsidRDefault="00087E87" w:rsidP="00087E87">
      <w:pPr>
        <w:ind w:firstLine="709"/>
        <w:rPr>
          <w:szCs w:val="28"/>
        </w:rPr>
      </w:pPr>
      <w:r w:rsidRPr="00087E87">
        <w:rPr>
          <w:szCs w:val="27"/>
        </w:rPr>
        <w:t xml:space="preserve">На федеральном уровне рассматриваемые правоотношения регулируются </w:t>
      </w:r>
      <w:hyperlink r:id="rId10" w:tgtFrame="Logical" w:history="1">
        <w:r w:rsidRPr="00087E87">
          <w:rPr>
            <w:rStyle w:val="a5"/>
            <w:szCs w:val="27"/>
          </w:rPr>
          <w:t>Конституцией Российской Федерации</w:t>
        </w:r>
      </w:hyperlink>
      <w:r w:rsidRPr="00087E87">
        <w:rPr>
          <w:szCs w:val="27"/>
        </w:rPr>
        <w:t xml:space="preserve">, федеральными законами </w:t>
      </w:r>
      <w:hyperlink r:id="rId11" w:tgtFrame="Logical" w:history="1">
        <w:r w:rsidRPr="00087E87">
          <w:rPr>
            <w:rStyle w:val="a5"/>
            <w:szCs w:val="27"/>
          </w:rPr>
          <w:t>от 06.10.1999 № 184-ФЗ</w:t>
        </w:r>
      </w:hyperlink>
      <w:r w:rsidRPr="00087E87">
        <w:rPr>
          <w:szCs w:val="27"/>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w:t>
      </w:r>
      <w:hyperlink r:id="rId12" w:tgtFrame="Logical" w:history="1">
        <w:r w:rsidRPr="00087E87">
          <w:rPr>
            <w:rStyle w:val="a5"/>
            <w:szCs w:val="27"/>
          </w:rPr>
          <w:t>от 27.07.2010 № 210-ФЗ</w:t>
        </w:r>
      </w:hyperlink>
      <w:r w:rsidRPr="00087E87">
        <w:rPr>
          <w:szCs w:val="27"/>
        </w:rPr>
        <w:t xml:space="preserve"> «Об организации предоставления государственных и муниципальных услуг», </w:t>
      </w:r>
      <w:hyperlink r:id="rId13" w:tgtFrame="Logical" w:history="1">
        <w:r w:rsidRPr="00087E87">
          <w:rPr>
            <w:rStyle w:val="a5"/>
            <w:szCs w:val="27"/>
          </w:rPr>
          <w:t>от 07.11.2011 № 306-ФЗ</w:t>
        </w:r>
      </w:hyperlink>
      <w:r w:rsidRPr="00087E87">
        <w:rPr>
          <w:szCs w:val="27"/>
        </w:rPr>
        <w:t xml:space="preserve"> «О денежном довольствии военнослужащих и предоставлении им отдельных выплат», постановлением Правительства Российской Федерации от 22.02.2012 № 142 «О финансовом обеспечении и об осуществлении выплаты ежемесячной денежной компенсации, установленной частями 9, 10 и 13 статьи 3 </w:t>
      </w:r>
      <w:hyperlink r:id="rId14" w:tgtFrame="Logical" w:history="1">
        <w:r w:rsidRPr="00720D35">
          <w:rPr>
            <w:rStyle w:val="a5"/>
            <w:szCs w:val="27"/>
          </w:rPr>
          <w:t>Федерального закона «О денежном довольствии военнослужащих и предоставлении им отдельных выплат»</w:t>
        </w:r>
      </w:hyperlink>
      <w:r w:rsidRPr="00087E87">
        <w:rPr>
          <w:szCs w:val="27"/>
        </w:rPr>
        <w:t>.</w:t>
      </w:r>
    </w:p>
    <w:p w:rsidR="00087E87" w:rsidRPr="00087E87" w:rsidRDefault="00087E87" w:rsidP="00087E87">
      <w:pPr>
        <w:ind w:firstLine="709"/>
        <w:rPr>
          <w:szCs w:val="28"/>
        </w:rPr>
      </w:pPr>
      <w:r w:rsidRPr="00087E87">
        <w:rPr>
          <w:szCs w:val="28"/>
        </w:rPr>
        <w:t>В результате анализа содержания приказа департамента социальной защиты населения, опеки и попечительства Костромской области от 14.05.2014 № 236 «О внесении изменений в отдельные приказы департамента социальной защиты населения, опеки и попечительства Костромской области», официально опубликованного в специализированном информационно-правовом бюллетене «СП – нормативные документы» от 23.05.2014 № 21 (488), нарушений Конституции Российской Федерации и федерального законодательства не выявлено.</w:t>
      </w:r>
    </w:p>
    <w:p w:rsidR="00087E87" w:rsidRPr="00087E87" w:rsidRDefault="00087E87" w:rsidP="00087E87">
      <w:pPr>
        <w:ind w:firstLine="709"/>
        <w:rPr>
          <w:szCs w:val="28"/>
        </w:rPr>
      </w:pPr>
      <w:r w:rsidRPr="00087E87">
        <w:rPr>
          <w:szCs w:val="28"/>
        </w:rPr>
        <w:t>Приказ является необходимым для урегулирования правоотношений в установленной сфере.</w:t>
      </w:r>
    </w:p>
    <w:p w:rsidR="00087E87" w:rsidRPr="00087E87" w:rsidRDefault="00087E87" w:rsidP="00087E87">
      <w:pPr>
        <w:ind w:firstLine="709"/>
        <w:rPr>
          <w:szCs w:val="28"/>
        </w:rPr>
      </w:pPr>
      <w:r w:rsidRPr="00087E87">
        <w:rPr>
          <w:szCs w:val="28"/>
        </w:rPr>
        <w:t>Порядок принятия и опубликования приказа соблюдён.</w:t>
      </w:r>
    </w:p>
    <w:p w:rsidR="00087E87" w:rsidRPr="00087E87" w:rsidRDefault="00087E87" w:rsidP="00087E87">
      <w:pPr>
        <w:ind w:firstLine="709"/>
        <w:rPr>
          <w:szCs w:val="28"/>
        </w:rPr>
      </w:pPr>
      <w:r w:rsidRPr="00087E87">
        <w:rPr>
          <w:szCs w:val="28"/>
        </w:rPr>
        <w:t>Форма приказа соответствует правилам юридической техники.</w:t>
      </w:r>
    </w:p>
    <w:p w:rsidR="00087E87" w:rsidRPr="00087E87" w:rsidRDefault="00087E87" w:rsidP="00087E87">
      <w:pPr>
        <w:ind w:firstLine="709"/>
        <w:rPr>
          <w:szCs w:val="28"/>
        </w:rPr>
      </w:pPr>
      <w:r w:rsidRPr="00087E87">
        <w:rPr>
          <w:rFonts w:cs="Arial"/>
        </w:rPr>
        <w:lastRenderedPageBreak/>
        <w:t xml:space="preserve">По результатам проведенной антикоррупционной экспертизы в соответствии с частью 3 статьи 3 Федерального закона </w:t>
      </w:r>
      <w:hyperlink r:id="rId15" w:tgtFrame="Logical" w:history="1">
        <w:r w:rsidRPr="00087E87">
          <w:rPr>
            <w:rStyle w:val="a5"/>
            <w:rFonts w:cs="Arial"/>
          </w:rPr>
          <w:t>от 17.07.2009 № 172-ФЗ</w:t>
        </w:r>
      </w:hyperlink>
      <w:r w:rsidRPr="00087E87">
        <w:rPr>
          <w:rFonts w:cs="Arial"/>
        </w:rPr>
        <w:t xml:space="preserve"> «Об антикоррупционной экспертизе нормативных правовых актов и проектов нормативных правовых актов», статьей 6 Федерального закона </w:t>
      </w:r>
      <w:hyperlink r:id="rId16" w:tgtFrame="Logical" w:history="1">
        <w:r w:rsidRPr="00087E87">
          <w:rPr>
            <w:rStyle w:val="a5"/>
            <w:rFonts w:cs="Arial"/>
          </w:rPr>
          <w:t>от 25.12.2008 № 273-ФЗ</w:t>
        </w:r>
      </w:hyperlink>
      <w:r w:rsidRPr="00087E87">
        <w:rPr>
          <w:rFonts w:cs="Arial"/>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w:t>
      </w:r>
      <w:hyperlink r:id="rId17" w:tgtFrame="Logical" w:history="1">
        <w:r w:rsidRPr="00087E87">
          <w:rPr>
            <w:rStyle w:val="a5"/>
            <w:rFonts w:cs="Arial"/>
          </w:rPr>
          <w:t>от 26.02.2010 № 96</w:t>
        </w:r>
      </w:hyperlink>
      <w:r w:rsidRPr="00087E87">
        <w:rPr>
          <w:szCs w:val="28"/>
        </w:rPr>
        <w:t>, выявлен коррупциогенный фактор.</w:t>
      </w:r>
    </w:p>
    <w:p w:rsidR="00087E87" w:rsidRPr="00087E87" w:rsidRDefault="00087E87" w:rsidP="00087E87">
      <w:pPr>
        <w:ind w:firstLine="709"/>
        <w:rPr>
          <w:szCs w:val="28"/>
        </w:rPr>
      </w:pPr>
      <w:r w:rsidRPr="00087E87">
        <w:rPr>
          <w:szCs w:val="28"/>
        </w:rPr>
        <w:t>Пунктом 18 Административного регламента предоставления департаментом социальной защиты населения, опеки и попечительства Костромской области государственной услуги по назначению ежемесячной денежной компенсации, установленной частями 9,10 и 13 статьи 3 Федерального закона «О денежном довольствии военнослужащих и предоставлении им отдельных выплат»,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 (далее – Административный регламент), утверждённого приказом, предусмотрено, что в случае необходимости гражданам предоставляется возможность предварительной записи.</w:t>
      </w:r>
    </w:p>
    <w:p w:rsidR="00087E87" w:rsidRPr="00087E87" w:rsidRDefault="00087E87" w:rsidP="00087E87">
      <w:pPr>
        <w:ind w:firstLine="709"/>
        <w:rPr>
          <w:szCs w:val="28"/>
        </w:rPr>
      </w:pPr>
      <w:r w:rsidRPr="00087E87">
        <w:rPr>
          <w:szCs w:val="28"/>
        </w:rPr>
        <w:t xml:space="preserve">Использование слов «в случае необходимости» в пункте 18 Административного регламента следует рассматривать в качестве коррупциогенного фактора, состоящего в </w:t>
      </w:r>
      <w:r w:rsidRPr="00087E87">
        <w:rPr>
          <w:rFonts w:eastAsia="Calibri"/>
          <w:szCs w:val="28"/>
        </w:rPr>
        <w:t>употребление неустоявшихся, двусмысленных терминов и категорий оценочного характера (</w:t>
      </w:r>
      <w:r w:rsidRPr="00087E87">
        <w:rPr>
          <w:szCs w:val="28"/>
        </w:rPr>
        <w:t>подпункт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087E87" w:rsidRPr="00087E87" w:rsidRDefault="00087E87" w:rsidP="00087E87">
      <w:pPr>
        <w:autoSpaceDE w:val="0"/>
        <w:autoSpaceDN w:val="0"/>
        <w:adjustRightInd w:val="0"/>
        <w:ind w:firstLine="709"/>
        <w:rPr>
          <w:szCs w:val="28"/>
        </w:rPr>
      </w:pPr>
      <w:r w:rsidRPr="00087E87">
        <w:rPr>
          <w:szCs w:val="28"/>
        </w:rPr>
        <w:t>В целях устранения выявленного коррупциогенного фактора необходимо пункте 18 Административного регламента слова «в случае необходимости» исключить.</w:t>
      </w:r>
    </w:p>
    <w:p w:rsidR="00087E87" w:rsidRPr="00087E87" w:rsidRDefault="00087E87" w:rsidP="00087E87">
      <w:pPr>
        <w:ind w:firstLine="709"/>
        <w:rPr>
          <w:szCs w:val="28"/>
        </w:rPr>
      </w:pPr>
      <w:r w:rsidRPr="00087E87">
        <w:rPr>
          <w:szCs w:val="28"/>
        </w:rPr>
        <w:t>Правовая экспертиза приказа показала, что данный нормативный правовой акт не соответствует Конституции Российской Федерации и федеральному законодательству.</w:t>
      </w:r>
    </w:p>
    <w:p w:rsidR="00087E87" w:rsidRPr="00087E87" w:rsidRDefault="00087E87" w:rsidP="00087E87">
      <w:pPr>
        <w:ind w:firstLine="709"/>
        <w:rPr>
          <w:szCs w:val="28"/>
        </w:rPr>
      </w:pPr>
      <w:r w:rsidRPr="00087E87">
        <w:rPr>
          <w:szCs w:val="28"/>
        </w:rPr>
        <w:t>Частью 2 статьи 19 Конституции Российской Федерации определено, что 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Запрещаются любые формы ограничения прав граждан по признакам социальной, расовой, национальной, языковой или религиозной принадлежности.</w:t>
      </w:r>
    </w:p>
    <w:p w:rsidR="00087E87" w:rsidRPr="00087E87" w:rsidRDefault="00087E87" w:rsidP="00087E87">
      <w:pPr>
        <w:ind w:firstLine="709"/>
        <w:rPr>
          <w:szCs w:val="28"/>
        </w:rPr>
      </w:pPr>
      <w:r w:rsidRPr="00087E87">
        <w:rPr>
          <w:szCs w:val="28"/>
        </w:rPr>
        <w:t xml:space="preserve">Согласно </w:t>
      </w:r>
      <w:hyperlink r:id="rId18" w:history="1">
        <w:r w:rsidRPr="00087E87">
          <w:rPr>
            <w:szCs w:val="28"/>
          </w:rPr>
          <w:t>пункту 4 статьи 2</w:t>
        </w:r>
      </w:hyperlink>
      <w:r w:rsidRPr="00087E87">
        <w:rPr>
          <w:szCs w:val="28"/>
        </w:rPr>
        <w:t xml:space="preserve"> Федерального закона от 27.07.2010 № 210-ФЗ «Об организации предоставления государственных и муниципальных услуг» административный регламент - нормативный правовой акт, устанавливающий порядок предоставления государственной услуги и стандарт предоставления государственной услуги.</w:t>
      </w:r>
    </w:p>
    <w:p w:rsidR="00087E87" w:rsidRPr="00087E87" w:rsidRDefault="009C00C8" w:rsidP="00087E87">
      <w:pPr>
        <w:ind w:firstLine="709"/>
        <w:rPr>
          <w:szCs w:val="28"/>
        </w:rPr>
      </w:pPr>
      <w:hyperlink r:id="rId19" w:history="1">
        <w:r w:rsidR="00087E87" w:rsidRPr="00087E87">
          <w:rPr>
            <w:szCs w:val="28"/>
          </w:rPr>
          <w:t>Пунктами 1</w:t>
        </w:r>
      </w:hyperlink>
      <w:r w:rsidR="00087E87" w:rsidRPr="00087E87">
        <w:rPr>
          <w:szCs w:val="28"/>
        </w:rPr>
        <w:t xml:space="preserve"> и </w:t>
      </w:r>
      <w:hyperlink r:id="rId20" w:history="1">
        <w:r w:rsidR="00087E87" w:rsidRPr="00087E87">
          <w:rPr>
            <w:szCs w:val="28"/>
          </w:rPr>
          <w:t xml:space="preserve">2 статьи 5 </w:t>
        </w:r>
      </w:hyperlink>
      <w:r w:rsidR="00087E87" w:rsidRPr="00087E87">
        <w:rPr>
          <w:szCs w:val="28"/>
        </w:rPr>
        <w:t>Федерального закона от 27.07.2010 № 210-ФЗ «Об организации предоставления государственных и муниципальных услуг»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 получение полной, актуальной и достоверной информации о порядке предоставления государственных и муниципальных услуг, в том числе в электронной форме.</w:t>
      </w:r>
    </w:p>
    <w:p w:rsidR="00087E87" w:rsidRPr="00087E87" w:rsidRDefault="00087E87" w:rsidP="00087E87">
      <w:pPr>
        <w:ind w:firstLine="709"/>
        <w:rPr>
          <w:szCs w:val="28"/>
        </w:rPr>
      </w:pPr>
      <w:r w:rsidRPr="00087E87">
        <w:rPr>
          <w:szCs w:val="28"/>
        </w:rPr>
        <w:t xml:space="preserve">Согласно </w:t>
      </w:r>
      <w:hyperlink r:id="rId21" w:history="1">
        <w:r w:rsidRPr="00087E87">
          <w:rPr>
            <w:szCs w:val="28"/>
          </w:rPr>
          <w:t>пункту 1 части 1 статьи 6</w:t>
        </w:r>
      </w:hyperlink>
      <w:r w:rsidRPr="00087E87">
        <w:rPr>
          <w:szCs w:val="28"/>
        </w:rPr>
        <w:t xml:space="preserve"> Федерального закона от 27.07.2010 № 210-ФЗ «Об организации предоставления государственных и муниципальных услуг» органы, предоставляющие государственные услуги, и органы, предоставляющие муниципальные услуги, обязаны предоставлять государственные и муниципальные услуги в соответствии с административными регламентами.</w:t>
      </w:r>
    </w:p>
    <w:p w:rsidR="00087E87" w:rsidRPr="00087E87" w:rsidRDefault="00087E87" w:rsidP="00087E87">
      <w:pPr>
        <w:ind w:firstLine="709"/>
        <w:rPr>
          <w:szCs w:val="28"/>
        </w:rPr>
      </w:pPr>
      <w:r w:rsidRPr="00087E87">
        <w:rPr>
          <w:szCs w:val="28"/>
        </w:rPr>
        <w:lastRenderedPageBreak/>
        <w:t xml:space="preserve">В целях соблюдения прав заявителей, соблюдения предусмотренного </w:t>
      </w:r>
      <w:hyperlink r:id="rId22" w:history="1">
        <w:r w:rsidRPr="00087E87">
          <w:rPr>
            <w:szCs w:val="28"/>
          </w:rPr>
          <w:t>пунктом 4 статьи 4</w:t>
        </w:r>
      </w:hyperlink>
      <w:r w:rsidRPr="00087E87">
        <w:rPr>
          <w:szCs w:val="28"/>
        </w:rPr>
        <w:t xml:space="preserve"> Федерального закона от 27.07.2010 № 210-ФЗ «Об организации предоставления государственных и муниципальных услуг» принципа открытости деятельности органов, предоставляющих государственные услуги, административный регламент должен полно и достоверно отражать процедуру предоставления государственной услуги, соответствовать требованиям законодательства.</w:t>
      </w:r>
    </w:p>
    <w:p w:rsidR="00087E87" w:rsidRPr="00087E87" w:rsidRDefault="00087E87" w:rsidP="00087E87">
      <w:pPr>
        <w:ind w:firstLine="709"/>
        <w:rPr>
          <w:szCs w:val="28"/>
        </w:rPr>
      </w:pPr>
      <w:r w:rsidRPr="00087E87">
        <w:rPr>
          <w:szCs w:val="28"/>
        </w:rPr>
        <w:t>В пункте 18 Административного регламента предусмотрено, что в случае необходимости гражданам предоставляется возможность предварительной записи.</w:t>
      </w:r>
    </w:p>
    <w:p w:rsidR="00087E87" w:rsidRPr="00087E87" w:rsidRDefault="00087E87" w:rsidP="00087E87">
      <w:pPr>
        <w:ind w:firstLine="709"/>
        <w:rPr>
          <w:szCs w:val="28"/>
        </w:rPr>
      </w:pPr>
      <w:r w:rsidRPr="00087E87">
        <w:rPr>
          <w:szCs w:val="28"/>
        </w:rPr>
        <w:t xml:space="preserve">Положения пункта 18 Административного регламента, в части употребления слов «в случае необходимости», не соответствуют </w:t>
      </w:r>
      <w:hyperlink r:id="rId23" w:history="1">
        <w:r w:rsidRPr="00087E87">
          <w:rPr>
            <w:szCs w:val="28"/>
          </w:rPr>
          <w:t>пункту 4 статьи 4</w:t>
        </w:r>
      </w:hyperlink>
      <w:r w:rsidRPr="00087E87">
        <w:rPr>
          <w:szCs w:val="28"/>
        </w:rPr>
        <w:t>, пунктам 1 и 2 статьи 5 Федерального закона от 27.07.2010 № 210-ФЗ «Об организации предоставления государственных и муниципальных услуг».</w:t>
      </w:r>
    </w:p>
    <w:p w:rsidR="00087E87" w:rsidRPr="00087E87" w:rsidRDefault="00087E87" w:rsidP="00087E87">
      <w:pPr>
        <w:ind w:firstLine="709"/>
        <w:rPr>
          <w:szCs w:val="28"/>
        </w:rPr>
      </w:pPr>
      <w:r w:rsidRPr="00087E87">
        <w:rPr>
          <w:szCs w:val="28"/>
        </w:rPr>
        <w:t>Административный регламент недостаточно регулирует отношения в установленной сфере.</w:t>
      </w:r>
    </w:p>
    <w:p w:rsidR="00087E87" w:rsidRPr="00087E87" w:rsidRDefault="00087E87" w:rsidP="00087E87">
      <w:pPr>
        <w:ind w:firstLine="709"/>
        <w:rPr>
          <w:szCs w:val="28"/>
        </w:rPr>
      </w:pPr>
      <w:r w:rsidRPr="00087E87">
        <w:rPr>
          <w:szCs w:val="28"/>
        </w:rPr>
        <w:t>Пунктом 6 Административного регламента установлено, что государственная услуга предоставляется департаментом социальной защиты населения, опеки и попечительства Костромской области через ОГКУ «ЦСВ», МФЦ.</w:t>
      </w:r>
    </w:p>
    <w:p w:rsidR="00087E87" w:rsidRPr="00087E87" w:rsidRDefault="00087E87" w:rsidP="00087E87">
      <w:pPr>
        <w:ind w:firstLine="709"/>
        <w:rPr>
          <w:rFonts w:eastAsia="Calibri"/>
          <w:szCs w:val="28"/>
        </w:rPr>
      </w:pPr>
      <w:r w:rsidRPr="00087E87">
        <w:rPr>
          <w:szCs w:val="28"/>
        </w:rPr>
        <w:t>Согласно подпункту 3 пункта 16 Порядка разработки и утверждения административных регламентов исполнения государственных функций и предоставления государственных услуг, утвержденного постановлением администрации Костромской области от 11.05.2012 № 175-а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в</w:t>
      </w:r>
      <w:r w:rsidRPr="00087E87">
        <w:rPr>
          <w:rFonts w:eastAsia="Calibri"/>
          <w:szCs w:val="28"/>
        </w:rPr>
        <w:t xml:space="preserve"> регламент включается раздел, предусматривающий состав, последовательность и сроки выполнения административных процедур (действий), требования к порядку их выполнения, в том числе особенности выполнения административных процедур (действий) в электронной форме, а также особенности выполнения административных процедур в многофункциональных центрах.</w:t>
      </w:r>
    </w:p>
    <w:p w:rsidR="00087E87" w:rsidRPr="00087E87" w:rsidRDefault="00087E87" w:rsidP="00087E87">
      <w:pPr>
        <w:autoSpaceDE w:val="0"/>
        <w:autoSpaceDN w:val="0"/>
        <w:adjustRightInd w:val="0"/>
        <w:ind w:firstLine="709"/>
        <w:rPr>
          <w:rFonts w:eastAsia="Calibri"/>
          <w:szCs w:val="28"/>
        </w:rPr>
      </w:pPr>
      <w:r w:rsidRPr="00087E87">
        <w:rPr>
          <w:rFonts w:eastAsia="Calibri"/>
          <w:szCs w:val="28"/>
        </w:rPr>
        <w:t>Глава 3 (Административные процедуры) Административного регламента не предусматривает особенности выполнения административных процедур в многофункциональных центрах.</w:t>
      </w:r>
    </w:p>
    <w:p w:rsidR="00087E87" w:rsidRPr="00087E87" w:rsidRDefault="00087E87" w:rsidP="00087E87">
      <w:pPr>
        <w:ind w:firstLine="709"/>
        <w:rPr>
          <w:szCs w:val="28"/>
        </w:rPr>
      </w:pPr>
      <w:r w:rsidRPr="00087E87">
        <w:rPr>
          <w:szCs w:val="28"/>
        </w:rPr>
        <w:t>Кроме того, текст Административного регламента содержит юридико-техническое нарушение.</w:t>
      </w:r>
    </w:p>
    <w:p w:rsidR="00087E87" w:rsidRPr="00087E87" w:rsidRDefault="00087E87" w:rsidP="00087E87">
      <w:pPr>
        <w:ind w:firstLine="709"/>
        <w:rPr>
          <w:szCs w:val="28"/>
        </w:rPr>
      </w:pPr>
      <w:r w:rsidRPr="00087E87">
        <w:rPr>
          <w:szCs w:val="28"/>
        </w:rPr>
        <w:t>В пунктах 2, 10, 12, 14 Административного регламента в связи с вступлением в силу Федерального закона от 29.12.2012 № 273-ФЗ «Об образовании в Российской Федерации» слова «образовательных учреждениях» следует заменить словами «образовательных организациях» в соответствующем падеже.</w:t>
      </w:r>
    </w:p>
    <w:p w:rsidR="00087E87" w:rsidRPr="00087E87" w:rsidRDefault="00087E87" w:rsidP="00087E87">
      <w:pPr>
        <w:autoSpaceDE w:val="0"/>
        <w:autoSpaceDN w:val="0"/>
        <w:adjustRightInd w:val="0"/>
        <w:ind w:firstLine="709"/>
        <w:rPr>
          <w:szCs w:val="28"/>
        </w:rPr>
      </w:pPr>
      <w:r w:rsidRPr="00087E87">
        <w:rPr>
          <w:szCs w:val="28"/>
        </w:rPr>
        <w:t>Предлагаем привести указанные положения Административного регламента, утвержденного приказа департамента социальной защиты населения, опеки и попечительства Костромской области от 13.05.2013 № 221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22.08.2013 № 446, от 14.05.2014 № 236), в соответствие с Конституцией Российской Федерации, федеральным законодательством; устранить выявленный коррупциогенный фактор, недостаточность регулирования в установленной сфере, юридико-техническое нарушение.</w:t>
      </w:r>
    </w:p>
    <w:p w:rsidR="00087E87" w:rsidRPr="00087E87" w:rsidRDefault="00087E87" w:rsidP="00087E87">
      <w:pPr>
        <w:ind w:firstLine="709"/>
        <w:rPr>
          <w:szCs w:val="28"/>
        </w:rPr>
      </w:pPr>
      <w:r w:rsidRPr="00087E87">
        <w:rPr>
          <w:szCs w:val="28"/>
        </w:rPr>
        <w:t>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w:t>
      </w:r>
    </w:p>
    <w:p w:rsidR="00087E87" w:rsidRPr="00087E87" w:rsidRDefault="00087E87" w:rsidP="00087E87">
      <w:pPr>
        <w:ind w:firstLine="709"/>
        <w:rPr>
          <w:szCs w:val="28"/>
        </w:rPr>
      </w:pPr>
    </w:p>
    <w:p w:rsidR="00087E87" w:rsidRPr="00087E87" w:rsidRDefault="00087E87" w:rsidP="00087E87">
      <w:pPr>
        <w:ind w:firstLine="709"/>
        <w:rPr>
          <w:szCs w:val="28"/>
        </w:rPr>
      </w:pPr>
    </w:p>
    <w:p w:rsidR="00087E87" w:rsidRPr="00087E87" w:rsidRDefault="00087E87" w:rsidP="00087E87">
      <w:pPr>
        <w:ind w:firstLine="709"/>
        <w:rPr>
          <w:szCs w:val="28"/>
        </w:rPr>
      </w:pPr>
      <w:r w:rsidRPr="00087E87">
        <w:rPr>
          <w:szCs w:val="28"/>
        </w:rPr>
        <w:t>И.о. начальника                                                          Д.А. Смирнов</w:t>
      </w:r>
    </w:p>
    <w:p w:rsidR="00087E87" w:rsidRPr="00087E87" w:rsidRDefault="00087E87" w:rsidP="00087E87">
      <w:pPr>
        <w:ind w:firstLine="709"/>
      </w:pPr>
    </w:p>
    <w:p w:rsidR="00087E87" w:rsidRPr="00087E87" w:rsidRDefault="00087E87" w:rsidP="00087E87">
      <w:pPr>
        <w:ind w:firstLine="709"/>
      </w:pPr>
    </w:p>
    <w:p w:rsidR="00087E87" w:rsidRPr="00087E87" w:rsidRDefault="00087E87" w:rsidP="00087E87">
      <w:pPr>
        <w:ind w:firstLine="709"/>
      </w:pPr>
      <w:r w:rsidRPr="00087E87">
        <w:lastRenderedPageBreak/>
        <w:t xml:space="preserve">Н.В. Блинова </w:t>
      </w:r>
    </w:p>
    <w:p w:rsidR="00087E87" w:rsidRPr="00087E87" w:rsidRDefault="00087E87" w:rsidP="00087E87">
      <w:pPr>
        <w:ind w:firstLine="709"/>
      </w:pPr>
      <w:r w:rsidRPr="00087E87">
        <w:t>47-03-14</w:t>
      </w:r>
    </w:p>
    <w:sectPr w:rsidR="00087E87" w:rsidRPr="00087E87" w:rsidSect="00DF0254">
      <w:headerReference w:type="default" r:id="rId24"/>
      <w:pgSz w:w="11906" w:h="16838"/>
      <w:pgMar w:top="1134" w:right="567"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0D35" w:rsidRDefault="00720D35" w:rsidP="009C00C8">
      <w:r>
        <w:separator/>
      </w:r>
    </w:p>
  </w:endnote>
  <w:endnote w:type="continuationSeparator" w:id="0">
    <w:p w:rsidR="00720D35" w:rsidRDefault="00720D35" w:rsidP="009C00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0D35" w:rsidRDefault="00720D35" w:rsidP="009C00C8">
      <w:r>
        <w:separator/>
      </w:r>
    </w:p>
  </w:footnote>
  <w:footnote w:type="continuationSeparator" w:id="0">
    <w:p w:rsidR="00720D35" w:rsidRDefault="00720D35" w:rsidP="009C00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7C2" w:rsidRDefault="009C00C8">
    <w:pPr>
      <w:pStyle w:val="a6"/>
      <w:jc w:val="center"/>
    </w:pPr>
    <w:r>
      <w:fldChar w:fldCharType="begin"/>
    </w:r>
    <w:r w:rsidR="00912742">
      <w:instrText xml:space="preserve"> PAGE   \* MERGEFORMAT </w:instrText>
    </w:r>
    <w:r>
      <w:fldChar w:fldCharType="separate"/>
    </w:r>
    <w:r w:rsidR="00720D35">
      <w:rPr>
        <w:noProof/>
      </w:rPr>
      <w:t>3</w:t>
    </w:r>
    <w:r>
      <w:fldChar w:fldCharType="end"/>
    </w:r>
  </w:p>
  <w:p w:rsidR="003F07C2" w:rsidRDefault="00A45E36">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04D5"/>
    <w:rsid w:val="00087E87"/>
    <w:rsid w:val="000D4BDE"/>
    <w:rsid w:val="000F2FE7"/>
    <w:rsid w:val="0013204F"/>
    <w:rsid w:val="0032284B"/>
    <w:rsid w:val="005017E6"/>
    <w:rsid w:val="005344A6"/>
    <w:rsid w:val="005C04D5"/>
    <w:rsid w:val="005C54DA"/>
    <w:rsid w:val="00704D15"/>
    <w:rsid w:val="00720D35"/>
    <w:rsid w:val="0090615B"/>
    <w:rsid w:val="00912742"/>
    <w:rsid w:val="00927111"/>
    <w:rsid w:val="009673EF"/>
    <w:rsid w:val="00977B5E"/>
    <w:rsid w:val="009C00C8"/>
    <w:rsid w:val="009E1D22"/>
    <w:rsid w:val="00A45E36"/>
    <w:rsid w:val="00A53073"/>
    <w:rsid w:val="00A6141B"/>
    <w:rsid w:val="00AF3FE9"/>
    <w:rsid w:val="00B35D16"/>
    <w:rsid w:val="00BC0051"/>
    <w:rsid w:val="00C11416"/>
    <w:rsid w:val="00C33F8C"/>
    <w:rsid w:val="00CA79B2"/>
    <w:rsid w:val="00CB3B8E"/>
    <w:rsid w:val="00CE29D4"/>
    <w:rsid w:val="00E43647"/>
    <w:rsid w:val="00E84383"/>
    <w:rsid w:val="00F235E8"/>
    <w:rsid w:val="00F77234"/>
    <w:rsid w:val="00FF2C4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720D35"/>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rsid w:val="00720D35"/>
    <w:pPr>
      <w:jc w:val="center"/>
      <w:outlineLvl w:val="0"/>
    </w:pPr>
    <w:rPr>
      <w:rFonts w:cs="Arial"/>
      <w:b/>
      <w:bCs/>
      <w:kern w:val="32"/>
      <w:sz w:val="32"/>
      <w:szCs w:val="32"/>
    </w:rPr>
  </w:style>
  <w:style w:type="paragraph" w:styleId="2">
    <w:name w:val="heading 2"/>
    <w:aliases w:val="!Разделы документа"/>
    <w:basedOn w:val="a"/>
    <w:link w:val="20"/>
    <w:qFormat/>
    <w:rsid w:val="00720D35"/>
    <w:pPr>
      <w:jc w:val="center"/>
      <w:outlineLvl w:val="1"/>
    </w:pPr>
    <w:rPr>
      <w:rFonts w:cs="Arial"/>
      <w:b/>
      <w:bCs/>
      <w:iCs/>
      <w:sz w:val="30"/>
      <w:szCs w:val="28"/>
    </w:rPr>
  </w:style>
  <w:style w:type="paragraph" w:styleId="3">
    <w:name w:val="heading 3"/>
    <w:aliases w:val="!Главы документа"/>
    <w:basedOn w:val="a"/>
    <w:link w:val="30"/>
    <w:qFormat/>
    <w:rsid w:val="00720D35"/>
    <w:pPr>
      <w:outlineLvl w:val="2"/>
    </w:pPr>
    <w:rPr>
      <w:rFonts w:cs="Arial"/>
      <w:b/>
      <w:bCs/>
      <w:sz w:val="28"/>
      <w:szCs w:val="26"/>
    </w:rPr>
  </w:style>
  <w:style w:type="paragraph" w:styleId="4">
    <w:name w:val="heading 4"/>
    <w:aliases w:val="!Параграфы/Статьи документа"/>
    <w:basedOn w:val="a"/>
    <w:link w:val="40"/>
    <w:qFormat/>
    <w:rsid w:val="00720D35"/>
    <w:pPr>
      <w:outlineLvl w:val="3"/>
    </w:pPr>
    <w:rPr>
      <w:b/>
      <w:bCs/>
      <w:sz w:val="26"/>
      <w:szCs w:val="28"/>
    </w:rPr>
  </w:style>
  <w:style w:type="character" w:default="1" w:styleId="a0">
    <w:name w:val="Default Paragraph Font"/>
    <w:semiHidden/>
    <w:rsid w:val="00720D35"/>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720D35"/>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aliases w:val="!Части документа Знак"/>
    <w:basedOn w:val="a0"/>
    <w:link w:val="1"/>
    <w:rsid w:val="00087E87"/>
    <w:rPr>
      <w:rFonts w:ascii="Arial" w:eastAsia="Times New Roman" w:hAnsi="Arial" w:cs="Arial"/>
      <w:b/>
      <w:bCs/>
      <w:kern w:val="32"/>
      <w:sz w:val="32"/>
      <w:szCs w:val="32"/>
    </w:rPr>
  </w:style>
  <w:style w:type="character" w:customStyle="1" w:styleId="20">
    <w:name w:val="Заголовок 2 Знак"/>
    <w:aliases w:val="!Разделы документа Знак"/>
    <w:basedOn w:val="a0"/>
    <w:link w:val="2"/>
    <w:rsid w:val="00087E87"/>
    <w:rPr>
      <w:rFonts w:ascii="Arial" w:eastAsia="Times New Roman" w:hAnsi="Arial" w:cs="Arial"/>
      <w:b/>
      <w:bCs/>
      <w:iCs/>
      <w:sz w:val="30"/>
      <w:szCs w:val="28"/>
    </w:rPr>
  </w:style>
  <w:style w:type="character" w:customStyle="1" w:styleId="30">
    <w:name w:val="Заголовок 3 Знак"/>
    <w:aliases w:val="!Главы документа Знак"/>
    <w:basedOn w:val="a0"/>
    <w:link w:val="3"/>
    <w:rsid w:val="00087E87"/>
    <w:rPr>
      <w:rFonts w:ascii="Arial" w:eastAsia="Times New Roman" w:hAnsi="Arial" w:cs="Arial"/>
      <w:b/>
      <w:bCs/>
      <w:sz w:val="28"/>
      <w:szCs w:val="26"/>
    </w:rPr>
  </w:style>
  <w:style w:type="character" w:customStyle="1" w:styleId="40">
    <w:name w:val="Заголовок 4 Знак"/>
    <w:aliases w:val="!Параграфы/Статьи документа Знак"/>
    <w:basedOn w:val="a0"/>
    <w:link w:val="4"/>
    <w:rsid w:val="00087E87"/>
    <w:rPr>
      <w:rFonts w:ascii="Arial" w:eastAsia="Times New Roman" w:hAnsi="Arial"/>
      <w:b/>
      <w:bCs/>
      <w:sz w:val="26"/>
      <w:szCs w:val="28"/>
    </w:rPr>
  </w:style>
  <w:style w:type="character" w:styleId="HTML">
    <w:name w:val="HTML Variable"/>
    <w:aliases w:val="!Ссылки в документе"/>
    <w:basedOn w:val="a0"/>
    <w:rsid w:val="00720D35"/>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720D35"/>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087E87"/>
    <w:rPr>
      <w:rFonts w:ascii="Courier" w:eastAsia="Times New Roman" w:hAnsi="Courier"/>
      <w:sz w:val="22"/>
    </w:rPr>
  </w:style>
  <w:style w:type="paragraph" w:customStyle="1" w:styleId="Title">
    <w:name w:val="Title!Название НПА"/>
    <w:basedOn w:val="a"/>
    <w:rsid w:val="00720D35"/>
    <w:pPr>
      <w:spacing w:before="240" w:after="60"/>
      <w:jc w:val="center"/>
      <w:outlineLvl w:val="0"/>
    </w:pPr>
    <w:rPr>
      <w:rFonts w:cs="Arial"/>
      <w:b/>
      <w:bCs/>
      <w:kern w:val="28"/>
      <w:sz w:val="32"/>
      <w:szCs w:val="32"/>
    </w:rPr>
  </w:style>
  <w:style w:type="character" w:styleId="a5">
    <w:name w:val="Hyperlink"/>
    <w:basedOn w:val="a0"/>
    <w:rsid w:val="00720D35"/>
    <w:rPr>
      <w:color w:val="0000FF"/>
      <w:u w:val="none"/>
    </w:rPr>
  </w:style>
  <w:style w:type="paragraph" w:customStyle="1" w:styleId="Application">
    <w:name w:val="Application!Приложение"/>
    <w:rsid w:val="00720D35"/>
    <w:pPr>
      <w:spacing w:before="120" w:after="120"/>
      <w:jc w:val="right"/>
    </w:pPr>
    <w:rPr>
      <w:rFonts w:ascii="Arial" w:eastAsia="Times New Roman" w:hAnsi="Arial" w:cs="Arial"/>
      <w:b/>
      <w:bCs/>
      <w:kern w:val="28"/>
      <w:sz w:val="32"/>
      <w:szCs w:val="32"/>
    </w:rPr>
  </w:style>
  <w:style w:type="paragraph" w:customStyle="1" w:styleId="Table">
    <w:name w:val="Table!Таблица"/>
    <w:rsid w:val="00720D35"/>
    <w:rPr>
      <w:rFonts w:ascii="Arial" w:eastAsia="Times New Roman" w:hAnsi="Arial" w:cs="Arial"/>
      <w:bCs/>
      <w:kern w:val="28"/>
      <w:sz w:val="24"/>
      <w:szCs w:val="32"/>
    </w:rPr>
  </w:style>
  <w:style w:type="paragraph" w:customStyle="1" w:styleId="Table0">
    <w:name w:val="Table!"/>
    <w:next w:val="Table"/>
    <w:rsid w:val="00720D35"/>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720D35"/>
    <w:pPr>
      <w:jc w:val="center"/>
    </w:pPr>
    <w:rPr>
      <w:rFonts w:ascii="Arial" w:eastAsia="Times New Roman" w:hAnsi="Arial" w:cs="Arial"/>
      <w:bCs/>
      <w:kern w:val="28"/>
      <w:sz w:val="24"/>
      <w:szCs w:val="32"/>
    </w:rPr>
  </w:style>
  <w:style w:type="paragraph" w:styleId="a6">
    <w:name w:val="header"/>
    <w:basedOn w:val="a"/>
    <w:link w:val="a7"/>
    <w:uiPriority w:val="99"/>
    <w:rsid w:val="00087E87"/>
    <w:pPr>
      <w:tabs>
        <w:tab w:val="center" w:pos="4677"/>
        <w:tab w:val="right" w:pos="9355"/>
      </w:tabs>
    </w:pPr>
  </w:style>
  <w:style w:type="character" w:customStyle="1" w:styleId="a7">
    <w:name w:val="Верхний колонтитул Знак"/>
    <w:basedOn w:val="a0"/>
    <w:link w:val="a6"/>
    <w:uiPriority w:val="99"/>
    <w:rsid w:val="00087E87"/>
    <w:rPr>
      <w:rFonts w:ascii="Times New Roman" w:eastAsia="Times New Roman" w:hAnsi="Times New Roman"/>
    </w:rPr>
  </w:style>
  <w:style w:type="paragraph" w:customStyle="1" w:styleId="Preformat">
    <w:name w:val="Preformat"/>
    <w:rsid w:val="00087E87"/>
    <w:pPr>
      <w:autoSpaceDE w:val="0"/>
      <w:autoSpaceDN w:val="0"/>
      <w:adjustRightInd w:val="0"/>
    </w:pPr>
    <w:rPr>
      <w:rFonts w:ascii="Courier New" w:eastAsia="Times New Roman" w:hAnsi="Courier New" w:cs="Courier New"/>
    </w:rPr>
  </w:style>
  <w:style w:type="paragraph" w:customStyle="1" w:styleId="11">
    <w:name w:val="Название объекта1"/>
    <w:basedOn w:val="a"/>
    <w:rsid w:val="00087E87"/>
    <w:pPr>
      <w:spacing w:before="240" w:after="60"/>
      <w:jc w:val="center"/>
    </w:pPr>
    <w:rPr>
      <w:rFonts w:cs="Arial"/>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18DE718928DCCFB0590D8440F7B152C654F0539CB9EFC4EF67C848C24ECDEA7634102CD840C8C5ABw3c0I" TargetMode="External"/><Relationship Id="rId13" Type="http://schemas.openxmlformats.org/officeDocument/2006/relationships/hyperlink" Target="file:///C:\content\act\93890ee6-78f8-45de-9c67-526a91012943.html" TargetMode="External"/><Relationship Id="rId18" Type="http://schemas.openxmlformats.org/officeDocument/2006/relationships/hyperlink" Target="consultantplus://offline/ref=AC7B6018C16C4663144BF375E2526787A0C4BD774CDE5CD65E41FBDC14151A9BB323A055C101AEADrCa9I"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consultantplus://offline/ref=AC7B6018C16C4663144BF375E2526787A0C4BD774CDE5CD65E41FBDC14151A9BB323A056rCa6I" TargetMode="External"/><Relationship Id="rId7" Type="http://schemas.openxmlformats.org/officeDocument/2006/relationships/hyperlink" Target="consultantplus://offline/ref=18DE718928DCCFB0590D8440F7B152C654F0539CB9EFC4EF67C848C24ECDEA7634102CD840C8C5AAw3cEI" TargetMode="External"/><Relationship Id="rId12" Type="http://schemas.openxmlformats.org/officeDocument/2006/relationships/hyperlink" Target="file:///C:\content\act\bba0bfb1-06c7-4e50-a8d3-fe1045784bf1.html" TargetMode="External"/><Relationship Id="rId17" Type="http://schemas.openxmlformats.org/officeDocument/2006/relationships/hyperlink" Target="file:///C:\content\act\07120b89-d89e-494f-8db9-61ba2013cc22.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content\act\9aa48369-618a-4bb4-b4b8-ae15f2b7ebf6.html" TargetMode="External"/><Relationship Id="rId20" Type="http://schemas.openxmlformats.org/officeDocument/2006/relationships/hyperlink" Target="consultantplus://offline/ref=AC7B6018C16C4663144BF375E2526787A0C4BD774CDE5CD65E41FBDC14151A9BB323A055C101AEAFrCa4I"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content\act\5724afaa-4194-470c-8df3-8737d9c801c7.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file:///C:\content\act\91e7be06-9a84-4cff-931d-1df8bc2444aa.html" TargetMode="External"/><Relationship Id="rId23" Type="http://schemas.openxmlformats.org/officeDocument/2006/relationships/hyperlink" Target="consultantplus://offline/ref=AC7B6018C16C4663144BF375E2526787A0C4BD774CDE5CD65E41FBDC14151A9BB323A055C101AEAErCa8I" TargetMode="External"/><Relationship Id="rId10" Type="http://schemas.openxmlformats.org/officeDocument/2006/relationships/hyperlink" Target="file:///C:\content\act\15d4560c-d530-4955-bf7e-f734337ae80b.html" TargetMode="External"/><Relationship Id="rId19" Type="http://schemas.openxmlformats.org/officeDocument/2006/relationships/hyperlink" Target="consultantplus://offline/ref=AC7B6018C16C4663144BF375E2526787A0C4BD774CDE5CD65E41FBDC14151A9BB323A055C101AEAFrCa5I" TargetMode="External"/><Relationship Id="rId4" Type="http://schemas.openxmlformats.org/officeDocument/2006/relationships/webSettings" Target="webSettings.xml"/><Relationship Id="rId9" Type="http://schemas.openxmlformats.org/officeDocument/2006/relationships/hyperlink" Target="consultantplus://offline/ref=A731BC63436A1303F435F6ADD46C82CCA327FADFDDA6BB669115FFDF3C37FB38907FAF4922398F99y212I" TargetMode="External"/><Relationship Id="rId14" Type="http://schemas.openxmlformats.org/officeDocument/2006/relationships/hyperlink" Target="file:///C:\content\act\93890ee6-78f8-45de-9c67-526a91012943.html" TargetMode="External"/><Relationship Id="rId22" Type="http://schemas.openxmlformats.org/officeDocument/2006/relationships/hyperlink" Target="consultantplus://offline/ref=AC7B6018C16C4663144BF375E2526787A0C4BD774CDE5CD65E41FBDC14151A9BB323A055C101AEAErCa8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37A1A3-AB63-4222-883A-CDB6C9CA5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6</Pages>
  <Words>2813</Words>
  <Characters>16040</Characters>
  <Application>Microsoft Office Word</Application>
  <DocSecurity>0</DocSecurity>
  <Lines>133</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18816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cp:lastModifiedBy>Пользователь</cp:lastModifiedBy>
  <cp:revision>2</cp:revision>
  <dcterms:created xsi:type="dcterms:W3CDTF">2015-09-10T12:00:00Z</dcterms:created>
  <dcterms:modified xsi:type="dcterms:W3CDTF">2015-09-10T12:00:00Z</dcterms:modified>
</cp:coreProperties>
</file>