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0" w:rsidRPr="001A7C10" w:rsidRDefault="001A7C10" w:rsidP="001A7C10">
      <w:pPr>
        <w:ind w:firstLine="0"/>
        <w:jc w:val="right"/>
      </w:pPr>
      <w:r w:rsidRPr="001A7C10">
        <w:t>Председателю</w:t>
      </w:r>
    </w:p>
    <w:p w:rsidR="001A7C10" w:rsidRPr="001A7C10" w:rsidRDefault="001A7C10" w:rsidP="001A7C10">
      <w:pPr>
        <w:ind w:firstLine="0"/>
        <w:jc w:val="right"/>
      </w:pPr>
      <w:r w:rsidRPr="001A7C10">
        <w:rPr>
          <w:bCs/>
        </w:rPr>
        <w:t>Орловского областного Совета народных депутатов</w:t>
      </w:r>
    </w:p>
    <w:p w:rsidR="001A7C10" w:rsidRPr="001A7C10" w:rsidRDefault="001A7C10" w:rsidP="001A7C10">
      <w:pPr>
        <w:ind w:firstLine="0"/>
        <w:jc w:val="right"/>
      </w:pPr>
    </w:p>
    <w:p w:rsidR="001A7C10" w:rsidRPr="001A7C10" w:rsidRDefault="001A7C10" w:rsidP="001A7C10">
      <w:pPr>
        <w:ind w:firstLine="0"/>
        <w:jc w:val="right"/>
      </w:pPr>
      <w:r w:rsidRPr="001A7C10">
        <w:t>Л.С. Музалевскому</w:t>
      </w:r>
    </w:p>
    <w:p w:rsidR="001A7C10" w:rsidRDefault="001A7C10" w:rsidP="001A7C10">
      <w:pPr>
        <w:ind w:firstLine="0"/>
        <w:jc w:val="center"/>
      </w:pPr>
    </w:p>
    <w:p w:rsidR="001A7C10" w:rsidRDefault="001A7C10" w:rsidP="001A7C10">
      <w:pPr>
        <w:ind w:firstLine="0"/>
        <w:jc w:val="center"/>
      </w:pPr>
      <w:r w:rsidRPr="001A7C10">
        <w:t>ЭКСПЕРТНОЕ ЗАКЛЮЧЕНИЕ</w:t>
      </w:r>
    </w:p>
    <w:p w:rsidR="001A7C10" w:rsidRDefault="001A7C10" w:rsidP="001A7C10">
      <w:pPr>
        <w:ind w:firstLine="0"/>
        <w:jc w:val="center"/>
      </w:pPr>
    </w:p>
    <w:p w:rsidR="001A7C10" w:rsidRDefault="001A7C10" w:rsidP="001A7C10">
      <w:pPr>
        <w:ind w:firstLine="0"/>
        <w:jc w:val="center"/>
      </w:pPr>
      <w:r>
        <w:t>от 18.10.2017 № 1027/17</w:t>
      </w:r>
    </w:p>
    <w:p w:rsidR="001A7C10" w:rsidRPr="001A7C10" w:rsidRDefault="001A7C10" w:rsidP="001A7C10">
      <w:pPr>
        <w:ind w:firstLine="0"/>
        <w:jc w:val="center"/>
      </w:pPr>
    </w:p>
    <w:p w:rsidR="001A7C10" w:rsidRPr="001A7C10" w:rsidRDefault="001A7C10" w:rsidP="001A7C10">
      <w:pPr>
        <w:ind w:firstLine="0"/>
        <w:jc w:val="center"/>
      </w:pPr>
      <w:r w:rsidRPr="001A7C10">
        <w:t>по результатам проведения правовой экспертизы на Закон Орловской области от 22.12.2016 № 2069-ОЗ «Об отдельных правоотношениях, связанных с проведением публичных мероприятий на территории Орловской области» (в редакции Закона Орловской области от 05.10.2017 № 2162-ОЗ).</w:t>
      </w:r>
    </w:p>
    <w:p w:rsidR="001A7C10" w:rsidRPr="001A7C10" w:rsidRDefault="001A7C10" w:rsidP="001A7C10">
      <w:pPr>
        <w:ind w:firstLine="0"/>
        <w:jc w:val="center"/>
      </w:pPr>
    </w:p>
    <w:p w:rsidR="001A7C10" w:rsidRPr="001A7C10" w:rsidRDefault="001A7C10" w:rsidP="001A7C10">
      <w:pPr>
        <w:ind w:firstLine="709"/>
      </w:pPr>
      <w:r w:rsidRPr="001A7C10">
        <w:t>Управление Министерства юстиции Российской Федерации по Орловской области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26, провело правовую экспертизу Закона Орловской области от 22.12.2016 № 2069-ОЗ «Об отдельных правоотношениях, связанных с проведением публичных мероприятий на территории Орловской области» (в редакции Закона Орловской области от 05.10.2017 № 2162-ОЗ) (далее также – Закон).</w:t>
      </w:r>
    </w:p>
    <w:p w:rsidR="001A7C10" w:rsidRPr="001A7C10" w:rsidRDefault="001A7C10" w:rsidP="001A7C10">
      <w:pPr>
        <w:ind w:firstLine="709"/>
      </w:pPr>
      <w:r w:rsidRPr="001A7C10">
        <w:t>Поводом проведения правовой экспертизы является внесение изменений в данный нормативный правовой акт.</w:t>
      </w:r>
    </w:p>
    <w:p w:rsidR="001A7C10" w:rsidRPr="001A7C10" w:rsidRDefault="001A7C10" w:rsidP="001A7C10">
      <w:pPr>
        <w:ind w:firstLine="709"/>
      </w:pPr>
      <w:r w:rsidRPr="001A7C10">
        <w:t>Предметом правового регулирования указанного нормативного правового акта являются общественные отношения, связанные с проведением публичных мероприятий на территории субъекта Российской Федерации (Орловской области).</w:t>
      </w:r>
    </w:p>
    <w:p w:rsidR="001A7C10" w:rsidRPr="001A7C10" w:rsidRDefault="001A7C10" w:rsidP="001A7C10">
      <w:pPr>
        <w:ind w:firstLine="709"/>
      </w:pPr>
      <w:r w:rsidRPr="001A7C10">
        <w:t>В соответствии с Конституцией Российской Федерации граждане Российской Федерации имеют право собираться мирно, без оружия, проводить собрания, митинги и демонстрации, шествия и пикетирования (статья 31). Защита прав и свобод человека и гражданина; обеспечение законности, правопорядка, общественной безопасности находятся в совместном ведении Российской Федерации и субъектов Российской Федерации (пункт «б» части 1 статьи 72).</w:t>
      </w:r>
    </w:p>
    <w:p w:rsidR="001A7C10" w:rsidRPr="001A7C10" w:rsidRDefault="001A7C10" w:rsidP="001A7C10">
      <w:pPr>
        <w:ind w:firstLine="709"/>
      </w:pPr>
      <w:r w:rsidRPr="001A7C10">
        <w:t>Указанные общественные отношения в настоящее время регулируют:</w:t>
      </w:r>
    </w:p>
    <w:p w:rsidR="001A7C10" w:rsidRPr="001A7C10" w:rsidRDefault="001A7C10" w:rsidP="001A7C10">
      <w:pPr>
        <w:ind w:firstLine="709"/>
      </w:pPr>
      <w:r w:rsidRPr="001A7C10">
        <w:t xml:space="preserve">- </w:t>
      </w:r>
      <w:hyperlink r:id="rId4" w:tgtFrame="Logical" w:history="1">
        <w:r w:rsidRPr="003C0B28">
          <w:rPr>
            <w:rStyle w:val="a7"/>
            <w:rFonts w:cs="Arial"/>
          </w:rPr>
          <w:t>Конституция Российской Федерации</w:t>
        </w:r>
      </w:hyperlink>
      <w:r w:rsidRPr="001A7C10">
        <w:t>;</w:t>
      </w:r>
    </w:p>
    <w:p w:rsidR="001A7C10" w:rsidRPr="001A7C10" w:rsidRDefault="001A7C10" w:rsidP="001A7C10">
      <w:pPr>
        <w:ind w:firstLine="709"/>
      </w:pPr>
      <w:r w:rsidRPr="001A7C10">
        <w:t xml:space="preserve">- </w:t>
      </w:r>
      <w:hyperlink r:id="rId5" w:tgtFrame="Logical" w:history="1">
        <w:r w:rsidRPr="003C0B28">
          <w:rPr>
            <w:rStyle w:val="a7"/>
            <w:rFonts w:cs="Arial"/>
            <w:szCs w:val="28"/>
          </w:rPr>
          <w:t xml:space="preserve">Федеральный закон </w:t>
        </w:r>
        <w:r w:rsidRPr="003C0B28">
          <w:rPr>
            <w:rStyle w:val="a7"/>
            <w:rFonts w:cs="Arial"/>
          </w:rPr>
          <w:t>от 06.10.1999 № 184-ФЗ</w:t>
        </w:r>
      </w:hyperlink>
      <w:r w:rsidRPr="001A7C10"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последней редакции Федерального закона от 29.07.2017 № 280-ФЗ);</w:t>
      </w:r>
    </w:p>
    <w:p w:rsidR="001A7C10" w:rsidRPr="001A7C10" w:rsidRDefault="001A7C10" w:rsidP="001A7C10">
      <w:pPr>
        <w:ind w:firstLine="709"/>
      </w:pPr>
      <w:r w:rsidRPr="001A7C10">
        <w:t xml:space="preserve">- </w:t>
      </w:r>
      <w:hyperlink r:id="rId6" w:tgtFrame="Logical" w:history="1">
        <w:r w:rsidRPr="001A7C10">
          <w:rPr>
            <w:rStyle w:val="a7"/>
          </w:rPr>
          <w:t>Федеральный закон от 19.06.2004 № 54-ФЗ</w:t>
        </w:r>
      </w:hyperlink>
      <w:r w:rsidRPr="001A7C10">
        <w:t xml:space="preserve"> «О собраниях, митингах демонстрациях, шествиях и пикетированиях» (в последней редакции Федерального закона от 07.06.2017 № 107-ФЗ).</w:t>
      </w:r>
    </w:p>
    <w:p w:rsidR="001A7C10" w:rsidRPr="001A7C10" w:rsidRDefault="001A7C10" w:rsidP="001A7C10">
      <w:pPr>
        <w:ind w:firstLine="709"/>
      </w:pPr>
      <w:r w:rsidRPr="001A7C10">
        <w:t>В соответствии с Конституцией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Федерации; законы и иные нормативные правовые акты субъектов Российской Федерации не могут противоречить федеральным законам (части 2 и 5 статьи 76).</w:t>
      </w:r>
    </w:p>
    <w:p w:rsidR="001A7C10" w:rsidRPr="001A7C10" w:rsidRDefault="001A7C10" w:rsidP="001A7C10">
      <w:pPr>
        <w:ind w:firstLine="709"/>
      </w:pPr>
      <w:r w:rsidRPr="001A7C10">
        <w:t xml:space="preserve">Федеральным законом «Об общих принципах организации законодательных (представительных) и исполнительных органов государственной власти субъектов </w:t>
      </w:r>
      <w:r w:rsidRPr="001A7C10">
        <w:lastRenderedPageBreak/>
        <w:t xml:space="preserve">Российской Федерации» (в последней редакции вышеуказанного Федерального закона) установлено, что к основным полномочиям законодательного (представительного) органа государственной власти субъекта Российской Федерации относится законодательное регулирование по предметам ведения субъекта Российской Федерации и предметам совместного ведения Российской Федерации и субъектов Российской Федерации в пределах полномочий субъекта Российской Федерации (подпункт «б» пункта 1 статьи 5). Полномочия, осуществляемые органами государственной власти субъекта Российской Федерации по предметам совместного ведения, определяются Конституцией Российской Федерации, федеральными законами, договорами о разграничении полномочий и соглашениями, а также законами субъектов Российской Федерации (пункт 2 статьи 26.1). </w:t>
      </w:r>
    </w:p>
    <w:p w:rsidR="001A7C10" w:rsidRPr="001A7C10" w:rsidRDefault="001A7C10" w:rsidP="001A7C10">
      <w:pPr>
        <w:ind w:firstLine="709"/>
      </w:pPr>
      <w:r w:rsidRPr="001A7C10">
        <w:t>В соответствии с Федеральным законом «О собраниях, митингах демонстрациях, шествиях и пикетированиях» (в последней редакции вышеуказанного Федерального закона) законодательство Российской Федерации о собраниях, митингах, демонстрациях, шествиях и пикетированиях основывается на положениях Конституции Российской Федерации, общепризнанных принципах и нормах международного права, международных договорах Российской Федерации и включает в себя настоящий Федеральный закон и иные законодательные акты Российской Федерации, относящиеся к обеспечению права на проведение собраний, митингов, демонстраций, шествий и пикетирований. В случаях, предусмотренных данным Федеральным законом, нормативные правовые акты, касающиеся обеспечения условий проведения собраний, митингов, демонстраций, шествий и пикетирований, издают Президент Российской Федерации, Правительство Российской Федерации, принимают и издают органы государственной власти субъектов Российской Федерации (часть 1 статьи 1). Порядок использования специально отведенных мест, нормы их предельной заполняемости и предельная численность лиц, участвующих в публичных мероприятиях, уведомление о проведении которых не требуется, устанавливаются законом субъекта Российской Федерации. В целях защиты прав и свобод человека и гражданина, обеспечения законности, правопорядка, общественной безопасности законом субъекта Российской Федерации дополнительно определяются места, в которых запрещается проведение собраний, митингов, шествий, демонстраций, в том числе если проведение публичных мероприятий в указанных местах может повлечь нарушение функционирования объектов жизнеобеспечения, транспортной или социальной инфраструктуры, связи, создать помехи движению пешеходов и (или) транспортных средств либо доступу граждан к жилым помещениям или объектам транспортной или социальной инфраструктуры. Порядок проведения публичного мероприятия на территориях объектов, являющихся памятниками истории и культуры, определяется органом исполнительной власти соответствующего субъекта Российской Федерации с учетом особенностей таких объектов и требований данного Федерального закона (части 1.1, 2.2, 3 статьи 8).</w:t>
      </w:r>
    </w:p>
    <w:p w:rsidR="001A7C10" w:rsidRPr="001A7C10" w:rsidRDefault="001A7C10" w:rsidP="001A7C10">
      <w:pPr>
        <w:ind w:firstLine="709"/>
      </w:pPr>
      <w:r w:rsidRPr="001A7C10">
        <w:t>На основании изложенного принятие данного нормативного правового акта находится в компетенции органа государственной власти субъекта Российской Федерации, принявшего акт.</w:t>
      </w:r>
    </w:p>
    <w:p w:rsidR="001A7C10" w:rsidRPr="001A7C10" w:rsidRDefault="001A7C10" w:rsidP="001A7C10">
      <w:pPr>
        <w:ind w:firstLine="709"/>
      </w:pPr>
      <w:r w:rsidRPr="001A7C10">
        <w:t>Принятие данного нормативного правового акта является необходимым и достаточным для правового регулирования рассматриваемых общественных отношений.</w:t>
      </w:r>
    </w:p>
    <w:p w:rsidR="001A7C10" w:rsidRPr="001A7C10" w:rsidRDefault="001A7C10" w:rsidP="001A7C10">
      <w:pPr>
        <w:ind w:firstLine="709"/>
      </w:pPr>
      <w:r w:rsidRPr="001A7C10">
        <w:t>В результате проведения правовой экспертизы положений, не соответствующих Конституции Российской Федерации и федеральному законодательству, не выявлено.</w:t>
      </w:r>
    </w:p>
    <w:p w:rsidR="001A7C10" w:rsidRPr="001A7C10" w:rsidRDefault="001A7C10" w:rsidP="001A7C10">
      <w:pPr>
        <w:ind w:firstLine="709"/>
      </w:pPr>
      <w:r w:rsidRPr="001A7C10">
        <w:t>Форма и текст нормативного правового акта соответствуют правилам юридической техники.</w:t>
      </w:r>
    </w:p>
    <w:p w:rsidR="001A7C10" w:rsidRPr="001A7C10" w:rsidRDefault="001A7C10" w:rsidP="001A7C10">
      <w:pPr>
        <w:ind w:firstLine="709"/>
      </w:pPr>
    </w:p>
    <w:p w:rsidR="001A7C10" w:rsidRPr="001A7C10" w:rsidRDefault="001A7C10" w:rsidP="001A7C10">
      <w:pPr>
        <w:ind w:firstLine="709"/>
      </w:pPr>
      <w:r w:rsidRPr="001A7C10">
        <w:t>Вместе с тем по результатам проведенной антикоррупционной экспертизы в соответствии с частью 3 статьи 3 Федерального закона от 17.07.2009 № 172-ФЗ</w:t>
      </w:r>
      <w:r>
        <w:t xml:space="preserve"> </w:t>
      </w:r>
      <w:r w:rsidRPr="001A7C10">
        <w:t>«Об антикоррупционной экспертизе нормативных правовых актов и проектов нормативных правовых актов», статьей 6 Федерального закона от 25.12.2008</w:t>
      </w:r>
      <w:r>
        <w:t xml:space="preserve"> </w:t>
      </w:r>
      <w:r w:rsidRPr="001A7C10">
        <w:t xml:space="preserve">№ 273-ФЗ «О </w:t>
      </w:r>
      <w:r w:rsidRPr="001A7C10">
        <w:lastRenderedPageBreak/>
        <w:t>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 № 96, в Законе выявлен коррупциогенный фактор, содержащий неопределенные, трудновыполнимые и (или) обременительные требования к гражданам (юридико-лингвистическая неопределенность), 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 (далее – Методика).</w:t>
      </w:r>
    </w:p>
    <w:p w:rsidR="001A7C10" w:rsidRPr="001A7C10" w:rsidRDefault="001A7C10" w:rsidP="001A7C10">
      <w:pPr>
        <w:ind w:firstLine="709"/>
      </w:pPr>
      <w:r w:rsidRPr="001A7C10">
        <w:t>В соответствии с пунктом 3 части 2 статьи 7 Закона законодательные запреты части 1 статьи 7 Закона не применяются в городе Орле к стеле, установленной на бульваре Победы города Орла в честь присвоения городу почетного звания Российской Федерации «Город воинской славы». Таким образом, публичные мероприятия могут проводиться на обозначенной стеле.</w:t>
      </w:r>
    </w:p>
    <w:p w:rsidR="001A7C10" w:rsidRPr="001A7C10" w:rsidRDefault="001A7C10" w:rsidP="001A7C10">
      <w:pPr>
        <w:ind w:firstLine="709"/>
      </w:pPr>
      <w:r w:rsidRPr="001A7C10">
        <w:t>В то же время в соответствии с Федеральным законом от 09.05.2006 № 68-ФЗ «О почетном звании Российской Федерации «Город воинской славы» в городе, удостоенном соответствующего почетного звания, устанавливается стела с изображением герба города и текстом Указа Президента Российской Федерации о присвоении городу этого звания (пункт 1 части 3 статьи 2).</w:t>
      </w:r>
    </w:p>
    <w:p w:rsidR="001A7C10" w:rsidRPr="001A7C10" w:rsidRDefault="001A7C10" w:rsidP="001A7C10">
      <w:pPr>
        <w:ind w:firstLine="709"/>
      </w:pPr>
      <w:r w:rsidRPr="001A7C10">
        <w:t>Архитектурно-скульптурное решение памятной стелы «Город воинской славы» утверждено Российским организационным комитетом «Победа» по результатам открытого всероссийского конкурса и предусматривает, что обозначенная памятная стела представляет собой гранитную колонну дорического ордера, увенчанную гербом Российской Федерации, установленную на постаменте в центре квадратной площади. На передней части постамента расположен картуш с текстом указа Президента Российской Федерации о присвоении звания «Город воинской славы», с обратной стороны постамента — картуш с изображением герба города.</w:t>
      </w:r>
    </w:p>
    <w:p w:rsidR="001A7C10" w:rsidRPr="001A7C10" w:rsidRDefault="001A7C10" w:rsidP="001A7C10">
      <w:pPr>
        <w:ind w:firstLine="709"/>
      </w:pPr>
      <w:r w:rsidRPr="001A7C10">
        <w:t xml:space="preserve">Таким образом, непосредственно сама стела (гранитная колона) не может рассматриваться как пригодное и безопасное место для целей проведения публичного мероприятия. </w:t>
      </w:r>
    </w:p>
    <w:p w:rsidR="001A7C10" w:rsidRPr="001A7C10" w:rsidRDefault="001A7C10" w:rsidP="001A7C10">
      <w:pPr>
        <w:ind w:firstLine="709"/>
      </w:pPr>
      <w:r w:rsidRPr="001A7C10">
        <w:t>При этом согласно ответу Орловского областного Совета народных депутатов от 13.10.2017 № 1917-ОСИ по результатам рассмотрения экспертного заключения от 13.09.2017 № 272/17 на проект Закона Орловской области № 161-6 «О внесении изменения в статью 7 Закона Орловской области «Об отдельных правоотношениях, связанных с проведением публичных мероприятий на территории Орловской области» в соответствии с разделом III-2 технического паспорта на стелу «Город воинской славы» (далее – технический паспорт) в состав данного объекта входят:</w:t>
      </w:r>
    </w:p>
    <w:p w:rsidR="001A7C10" w:rsidRPr="001A7C10" w:rsidRDefault="001A7C10" w:rsidP="001A7C10">
      <w:pPr>
        <w:ind w:firstLine="709"/>
      </w:pPr>
      <w:r w:rsidRPr="001A7C10">
        <w:t>1) стела «Город воинской славы» (в соответствии с экспликацией к плану сооружения застроенная площадь составляет 9,6 кв.м);</w:t>
      </w:r>
    </w:p>
    <w:p w:rsidR="001A7C10" w:rsidRPr="001A7C10" w:rsidRDefault="001A7C10" w:rsidP="001A7C10">
      <w:pPr>
        <w:ind w:firstLine="709"/>
      </w:pPr>
      <w:r w:rsidRPr="001A7C10">
        <w:t>2) замощение плиткой (в соответствии с экспликацией к плану сооружения застроенная площадь составляет 74,1 кв.м).</w:t>
      </w:r>
    </w:p>
    <w:p w:rsidR="001A7C10" w:rsidRPr="001A7C10" w:rsidRDefault="001A7C10" w:rsidP="001A7C10">
      <w:pPr>
        <w:ind w:firstLine="709"/>
      </w:pPr>
      <w:r w:rsidRPr="001A7C10">
        <w:t>Таким образом, в соответствии с техническим паспортом территория, замощенная плиткой, длиной 9,15 м и шириной 9,15 м является частью объекта, общая площадь поверхности памятника составляет 121 кв.м.</w:t>
      </w:r>
    </w:p>
    <w:p w:rsidR="001A7C10" w:rsidRPr="001A7C10" w:rsidRDefault="001A7C10" w:rsidP="001A7C10">
      <w:pPr>
        <w:ind w:firstLine="709"/>
      </w:pPr>
      <w:r w:rsidRPr="001A7C10">
        <w:t>Однако данные технического паспорта недоступны для сведения широкого круга лиц. В данной связи ввиду недостаточной информированности проведение гражданами публичных мероприятий на стеле «Город воинской славы» может осуществляться за пределами общей площади поверхности памятника в нарушение законодательных запретов, установленных частью 1 статьи 7 Закона.</w:t>
      </w:r>
    </w:p>
    <w:p w:rsidR="001A7C10" w:rsidRPr="001A7C10" w:rsidRDefault="001A7C10" w:rsidP="001A7C10">
      <w:pPr>
        <w:ind w:firstLine="709"/>
      </w:pPr>
      <w:r w:rsidRPr="001A7C10">
        <w:t xml:space="preserve">Таким образом, используемая в контексте анализируемой нормы Закона формулировка «стела, установленная на бульваре Победы города Орла в честь присвоения городу почетного звания Российской Федерации «Город воинской славы» </w:t>
      </w:r>
      <w:r w:rsidRPr="001A7C10">
        <w:lastRenderedPageBreak/>
        <w:t>образует коррупциогенный фактор, содержащий неопределенные, трудновыполнимые и (или) обременительные требования к гражданам (юридико-лингвистическая неопределенность), в соответствии с подпунктом «в» пункта 4 Методики, поскольку рассматриваемая правовая конструкция подлежит неоднозначному толкованию ввиду отсутствия в пункте 3 части 2 статьи 7 Закона сведений об общей площади поверхности указанного памятника, что в рассматриваемых правоотношениях создает для правоприменителя условия, при которых в отношении отдельных публичных мероприятий может устанавливаться запрет на их проведение при превышении гражданами параметров, указанных в техническом паспорте.</w:t>
      </w:r>
    </w:p>
    <w:p w:rsidR="001A7C10" w:rsidRPr="001A7C10" w:rsidRDefault="001A7C10" w:rsidP="001A7C10">
      <w:pPr>
        <w:ind w:firstLine="709"/>
      </w:pPr>
      <w:r w:rsidRPr="001A7C10">
        <w:t>В данной связи в целях устранения выявленного коррупциогенного фактора предлагаем в пункте 3 части 2 статьи 7 Закона предусмотреть положение, исключающее действие законодательных запретов на проведение публичных мероприятий, не только в отношении самой стелы «Город воинской славы», но и прилегающей к ней территории в соответствии с данными технического паспорта.</w:t>
      </w:r>
    </w:p>
    <w:p w:rsidR="001A7C10" w:rsidRPr="001A7C10" w:rsidRDefault="001A7C10" w:rsidP="001A7C10">
      <w:pPr>
        <w:ind w:firstLine="709"/>
      </w:pPr>
    </w:p>
    <w:p w:rsidR="001A7C10" w:rsidRPr="001A7C10" w:rsidRDefault="001A7C10" w:rsidP="001A7C10">
      <w:pPr>
        <w:ind w:firstLine="709"/>
      </w:pPr>
      <w:r w:rsidRPr="001A7C10">
        <w:t>На основании изложенного предлагаем в Законе Орловской области от 22.12.2016 № 2069-ОЗ «Об отдельных правоотношениях, связанных с проведением публичных мероприятий на территории Орловской области» (в редакции Закона Орловской области от 05.10.2017 № 2162-ОЗ) устранить выявленный коррупциогенный фактор, а также сообщить о результатах рассмотрения настоящего экспертного заключения.</w:t>
      </w:r>
    </w:p>
    <w:p w:rsidR="001A7C10" w:rsidRPr="001A7C10" w:rsidRDefault="001A7C10" w:rsidP="001A7C10">
      <w:pPr>
        <w:ind w:firstLine="709"/>
      </w:pPr>
    </w:p>
    <w:p w:rsidR="001A7C10" w:rsidRDefault="001A7C10" w:rsidP="001A7C10">
      <w:pPr>
        <w:ind w:firstLine="709"/>
      </w:pPr>
    </w:p>
    <w:p w:rsidR="001A7C10" w:rsidRPr="001A7C10" w:rsidRDefault="001A7C10" w:rsidP="001A7C10">
      <w:pPr>
        <w:ind w:firstLine="709"/>
      </w:pPr>
    </w:p>
    <w:p w:rsidR="001A7C10" w:rsidRDefault="001A7C10" w:rsidP="001A7C10">
      <w:pPr>
        <w:ind w:firstLine="0"/>
      </w:pPr>
      <w:r w:rsidRPr="001A7C10">
        <w:t>Начальник Управления</w:t>
      </w:r>
    </w:p>
    <w:p w:rsidR="001A7C10" w:rsidRPr="001A7C10" w:rsidRDefault="001A7C10" w:rsidP="001A7C10">
      <w:pPr>
        <w:ind w:firstLine="0"/>
        <w:jc w:val="right"/>
      </w:pPr>
      <w:r w:rsidRPr="001A7C10">
        <w:t>С.И. Кудрявцев</w:t>
      </w:r>
    </w:p>
    <w:sectPr w:rsidR="001A7C10" w:rsidRPr="001A7C10" w:rsidSect="001A7C10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20"/>
  <w:displayHorizontalDrawingGridEvery w:val="2"/>
  <w:characterSpacingControl w:val="doNotCompress"/>
  <w:compat/>
  <w:rsids>
    <w:rsidRoot w:val="00E91C30"/>
    <w:rsid w:val="001A7C10"/>
    <w:rsid w:val="002E768A"/>
    <w:rsid w:val="00880A00"/>
    <w:rsid w:val="00E91C30"/>
    <w:rsid w:val="00F75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1A7C10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1A7C10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1A7C10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1A7C10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1A7C10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1A7C10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1A7C10"/>
  </w:style>
  <w:style w:type="paragraph" w:styleId="a3">
    <w:name w:val="Plain Text"/>
    <w:basedOn w:val="a"/>
    <w:link w:val="a4"/>
    <w:uiPriority w:val="99"/>
    <w:unhideWhenUsed/>
    <w:rsid w:val="00880A00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80A00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1A7C1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A7C10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A7C10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A7C10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1A7C10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1A7C10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basedOn w:val="a0"/>
    <w:link w:val="a5"/>
    <w:semiHidden/>
    <w:rsid w:val="001A7C10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1A7C1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1A7C10"/>
    <w:rPr>
      <w:color w:val="0000FF"/>
      <w:u w:val="none"/>
    </w:rPr>
  </w:style>
  <w:style w:type="paragraph" w:customStyle="1" w:styleId="Application">
    <w:name w:val="Application!Приложение"/>
    <w:rsid w:val="001A7C10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1A7C10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1A7C10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1A7C10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1A7C10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/content/act/8152bd4b-0a64-4b00-8da2-db8b862b684b.html" TargetMode="External"/><Relationship Id="rId5" Type="http://schemas.openxmlformats.org/officeDocument/2006/relationships/hyperlink" Target="/content/act/5724afaa-4194-470c-8df3-8737d9c801c7.html" TargetMode="External"/><Relationship Id="rId4" Type="http://schemas.openxmlformats.org/officeDocument/2006/relationships/hyperlink" Target="/content/act/15d4560c-d530-4955-bf7e-f734337ae80b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4</Pages>
  <Words>1815</Words>
  <Characters>10349</Characters>
  <Application>Microsoft Office Word</Application>
  <DocSecurity>0</DocSecurity>
  <Lines>86</Lines>
  <Paragraphs>24</Paragraphs>
  <ScaleCrop>false</ScaleCrop>
  <Company>Home</Company>
  <LinksUpToDate>false</LinksUpToDate>
  <CharactersWithSpaces>12140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Shinkorenko</dc:creator>
  <cp:keywords/>
  <dc:description/>
  <cp:lastModifiedBy>Shinkorenko</cp:lastModifiedBy>
  <cp:revision>2</cp:revision>
  <dcterms:created xsi:type="dcterms:W3CDTF">2017-10-28T10:25:00Z</dcterms:created>
  <dcterms:modified xsi:type="dcterms:W3CDTF">2017-10-28T10:25:00Z</dcterms:modified>
</cp:coreProperties>
</file>