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МИНИСТЕРСТВО ЗДРАВООХРАНЕНИЯ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ЧЕЧЕНСКОЙ РЕСПУБЛИКИ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(Минздрав ЧР)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ПРИКАЗ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от 22 .06. 2015 г.</w:t>
        <w:tab/>
        <w:tab/>
        <w:tab/>
        <w:t>г. Грозный</w:t>
        <w:tab/>
        <w:tab/>
        <w:tab/>
        <w:tab/>
        <w:t>№104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cs="Arial"/>
          <w:b/>
          <w:bCs/>
          <w:kern w:val="2"/>
          <w:sz w:val="32"/>
          <w:szCs w:val="32"/>
        </w:rPr>
        <w:t>«О порядке безвозмездного обеспечения детей первых двух лет жизни специальными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 по рецептам врача (фельдшера)»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{Изменения и дополнения:</w:t>
      </w:r>
    </w:p>
    <w:p>
      <w:pPr>
        <w:pStyle w:val="Normal"/>
        <w:ind w:firstLine="709"/>
        <w:rPr>
          <w:rStyle w:val="Style10"/>
          <w:rFonts w:ascii="Times New Roman" w:hAnsi="Times New Roman"/>
        </w:rPr>
      </w:pPr>
      <w:r>
        <w:rPr>
          <w:rFonts w:ascii="Times New Roman" w:hAnsi="Times New Roman"/>
        </w:rPr>
        <w:t xml:space="preserve">приказ Министерства здравоохранения Чеченской Республики от 09.07.2015г. №109 </w:t>
      </w:r>
      <w:hyperlink r:id="rId2" w:tgtFrame="ChangingDocument">
        <w:r>
          <w:rPr>
            <w:rFonts w:ascii="Times New Roman" w:hAnsi="Times New Roman"/>
          </w:rPr>
          <w:t>НГР:ru20000201500303</w:t>
        </w:r>
      </w:hyperlink>
      <w:r>
        <w:rPr>
          <w:rStyle w:val="Style10"/>
          <w:rFonts w:ascii="Times New Roman" w:hAnsi="Times New Roman"/>
        </w:rPr>
        <w:t>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приказ Министерства здравоохранения Чеченской Республики от 16.03.2016г. №81 </w:t>
      </w:r>
      <w:hyperlink r:id="rId3" w:tgtFrame="ChangingDocument">
        <w:r>
          <w:rPr>
            <w:rFonts w:ascii="Times New Roman" w:hAnsi="Times New Roman"/>
          </w:rPr>
          <w:t>НГР:ru20000201600101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целях реализации Подпрограммы «Профилактика заболеваний и формирование здорового образа жизни» Государственной программы Чеченской Республики, «Развитие здравоохранения Чеченской Республики на 2014-2020 годы», утвержденной постановлением Правительства Чеченской Республики </w:t>
      </w:r>
      <w:hyperlink r:id="rId4" w:tgtFrame="Logical">
        <w:r>
          <w:rPr>
            <w:rFonts w:ascii="Times New Roman" w:hAnsi="Times New Roman"/>
          </w:rPr>
          <w:t>от 19 декабря 2013г. №348</w:t>
        </w:r>
      </w:hyperlink>
      <w:bookmarkStart w:id="0" w:name="_GoBack"/>
      <w:bookmarkEnd w:id="0"/>
      <w:r>
        <w:rPr>
          <w:rFonts w:ascii="Times New Roman" w:hAnsi="Times New Roman"/>
        </w:rPr>
        <w:t xml:space="preserve"> «Об утверждении государственной программы Чеченской Республики «Развитие здравоохранения Чеченской Республики на 2014-2020 годы» (в редакции постановлений Правительства Чеченской Республики от 28 апреля 2014 г. №64, от 5 мая 2015 г. №90),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п р и к а з ы в а ю: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Утвердить: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1.1. Порядок безвозмездного обеспечения детей первых двух лет жизни специальными молочными продуктами питания и смесями по рецептам врача (фельдшера) (приложение №1);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1.2. Порядок обеспечения взрослых и детей, нуждающихся в специализированном лечебном питании, в том числе страдающих редкими (орфанными) жизнеугрожающими заболеваниями (приложение №2);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1.3. Норма расчета на одного ребенка в день специальных молочных продуктов детского питания для детей первых двух лет жизни, отпускаемых раздаточными пунктами медицинских организаций (приложение №3);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1.4. Перечень заболеваний, при которых предоставляется специализированное лечебное питание больным детям и взрослым, отпускаемое государственными аптечными учреждениями ГАУ «Фарммедтехснаб» Минздрава ЧР (приложение №4);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1.5. Форму отчета о движении детского питания для детей первых двух лет жизни (приложение №8);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1.6. Перечень медицинских организаций осуществляющих отпуск специальных молочных продуктов питания и смесей по рецептам врача (фельдшера), (приложение №5).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Руководителям медицинских организаций, согласно приложению №5: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2.1. В срок до 1 июля 2015 г. представить в отдел детства Минздрава ЧР и в ГАУ «Фарммедтехснаб» Минздрава ЧР приказы об определении лиц ответственных за получение, хранение, учет и отпуск детского питания с указанием конкретных адресов пунктов отпуска (поликлиника, консультация, УБ, ВА, РБ, МСЧ, ФАП);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2.2. Сформировать реестр нуждающихся в детском питании детей первых двух лет жизни к 1 декабрю отчетного года, и далее ежегодно, предоставлять в отдел детства Минздрава ЧР согласно приложению №6 в электронном виде и на бумажном носителе;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2.3. Представить в отдел детства Минздрава ЧР заявку на специализированное лечебное питание согласно приложению №7 для определения потребности – в срок до 1 июля 2015г. в электронном виде и на бумажном носителе;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2.4. Ежемесячно, к 10 числу месяца следующего за отчетным, предоставлять в отдел детства Минздрава ЧР отчет о движении детского питания детям первых двух лет жизни по форме (приложение №8) в электронном виде и на бумажном носителе.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Отделу детства Минздрава ЧР предоставлять в ГАУ «Фарммедтехснаб» Минздрава ЧР регистр больных нуждающихся в специализированном лечебном питании с указанием вида питания и месячной нормы отпуска (разнарядка).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Признать утратившим силу приказ Минздрава ЧР от 28.05.2014г. №133 «О порядке бесплатного обеспечения детей первого - второго года жизни специальными молочными продуктами детского питания».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5. Общему отделу Минздрава ЧР довести настоящий приказ со всеми приложениями до всех медицинских организаций Чеченской Республики.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Контроль за исполнением настоящего приказа возложить на заместителя министра П.В. Исакову.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М и н и с т р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Ш.С. Ахмадов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№1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 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Порядок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безвозмездного обеспечения детей первых двух лет жизни специальными,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молочными продуктами детского питания.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shd w:fill="FFFF00" w:val="clear"/>
        </w:rPr>
      </w:pPr>
      <w:r>
        <w:rPr>
          <w:rFonts w:ascii="Times New Roman" w:hAnsi="Times New Roman"/>
          <w:shd w:fill="FFFF00" w:val="clear"/>
        </w:rPr>
        <w:t xml:space="preserve">1. Настоящий порядок определяет механизм обеспечения </w:t>
      </w:r>
      <w:r>
        <w:rPr>
          <w:rFonts w:ascii="Times New Roman" w:hAnsi="Times New Roman"/>
          <w:shd w:fill="FF0000" w:val="clear"/>
        </w:rPr>
        <w:t>детей первых двух лет жизни</w:t>
      </w:r>
      <w:r>
        <w:rPr>
          <w:rFonts w:ascii="Times New Roman" w:hAnsi="Times New Roman"/>
          <w:shd w:fill="FFFF00" w:val="clear"/>
        </w:rPr>
        <w:t xml:space="preserve"> специальными молочными продуктами питания и смесями по рецептам врачей (далее - полноценное питание) в Чеченской Республике.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Полноценным питанием по рецептам врачей безвозмездно обеспечиваются дети первых двух лет жизни, находящиеся на искусственном и смешанном вскармливании, из семей со средним душевым доходом не превышающим величину прожиточного минимума на душу населения, установленного на территории Чеченской Республики, постоянно или временно проживающие в Чеченской Республике, состоящие на амбулаторном учете по месту жительства в медицинских организациях республики.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При наличии в семье двух или более детей указанного возраста данное право имеет каждый ребенок.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При наличии права на безвозмездное обеспечение полноценным питанием по нескольким основаниям указанное обеспечение осуществляется только по одному основанию.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5. Право на безвозмездное получение полноценного питания для детей имеет один из родителей (законных представителей).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6. Дети, не отнесенные к категориям пункта 2 настоящего Порядка могут обеспечиваться полноценным питанием за счет личных средств граждан.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7. Решение о безвозмездном обеспечении полноценным питанием принимается участковым врачом-педиатром амбулаторно-поликлинического учреждения по месту жительства ребенка.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8. Решение о безвозмездном обеспечении полноценным питанием оформляется рецептом по форме №148-1/у-06 утвержденной Министерством здравоохранения РФ от 20.12.2012. №1175 «Об утверждении порядка назначения и выписывания лекарственных препаратов, а также рецептурных бланков на лекарственные препараты, порядка оформления указанных бланков, их учета и хранения».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 Основанием для выдачи рецепта на безвозмездное обеспечение полноценным питанием является: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9.1. Отнесение ребенка к категории, установленным в пункте 2 настоящего Порядка;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9.2. Наличие информации о ребенке в региональном регистре детей из семей, имеющих среднедушевой доход ниже величины прожиточного минимума на душу населения, установленного в Чеченской Республики или наличие справки территориального органа социальной защиты подтверждающей, что среднедушевой доход семьи не превышает величину прожиточного минимума на душу населения, установленного в Чеченской Республике.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10. Рецепты на безвозмездное обеспечение полноценным питанием (форма №148-1/у-06 утвержденная приказом Минздравасоцразвития РФ от 12.02.07г. №110) выписывается в двух экземплярах участковым врачом-педиатром амбулаторно-поликлинического учреждения один раз месяц. Первый экземпляр выдается родителю (законному представителю), второй экземпляр рецепта остается в амбулаторно-поликлиническом учреждении для целей учета и хранения (в амбулаторной карте). В истории развития ребенка делается соответствующая запись по выдаче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11. В рецептах на безвозмездное обеспечение полноценным питанием указываются фамилия, имя, отчество ребенка, дата рождения, возраст на день выписки рецепта, домашний адрес, показания к обеспечению безвозмездным питанием (социальные или медицинские с указанием диагноза заболевания), наименования продуктов детского питания и его количества в день, срок действия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12. Отпуск полноценного питания осуществляется пунктами отпуска при медицинских организациях.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13. Рецепт, по которому отпущено детское питание, сохраняется у лица ответственного за его отпуск в течение 1 (одного) года.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 Рецепт на безвозмездное обеспечение полноценным питанием выписывается из расчета потребности питанием на 1 (один) месяц с учетом рекомендаций специалистов.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15. Право на получение детского питания подтверждается ежеквартально.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16. Обеспечение бесплатными молочными продуктами питания, является мерой социальной поддержки и, соответственно, не предполагает обеспечение питанием в полном необходимом объеме, в том числе с учетом индивидуальных особенностей вскармливания детей первых двух лет жизни.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17. Минздрав ЧР может корректировать первоначальную разнарядку по медицинским организациям в зависимости от реализации детского питания.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18. ГАУ «Фарммедтехснаб» Минздрава ЧР осуществляет: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18.1. Закупку полноценного питания согласно заявке Минздрава ЧР;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18.2. Доставку специальных молочных продуктов в медицинские организации, уполномоченные в приемке, хранении, учете и отпуске, согласно приложению №5 приказа Минздрава ЧР.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16.03.2016г. №81 </w:t>
      </w:r>
      <w:hyperlink r:id="rId5" w:tgtFrame="ChangingDocument">
        <w:r>
          <w:rPr>
            <w:rFonts w:ascii="Times New Roman" w:hAnsi="Times New Roman"/>
          </w:rPr>
          <w:t>НГР:ru20000201600101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№2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Порядок</w:t>
      </w:r>
    </w:p>
    <w:p>
      <w:pPr>
        <w:pStyle w:val="Normal"/>
        <w:ind w:firstLine="709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обеспечения взрослых и детей, нуждающихся в специализированном лечебном питании, в том числе страдающих редкими (орфанными) жизнеугрожающими заболеваниями.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1. Настоящий порядок определяет механизм обеспечения взрослых и детей, нуждающихся в специализированном лечебном питании, в том числе страдающих редкими (орфанными) жизнеугрожающими заболеваниями (далее – лечебное питание).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2. Специализированным лечебным питанием по рецептам врачей обеспечиваются взрослые и дети, постоянно или временно проживающие в Чеченской Республике, страдающие заболеваниями, указанными в приложении №4, состоящие на диспансерном учете в медицинских организациях, указанных в приложении №5.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{в ред. приказа Министерства здравоохранения Чеченской Республики от 16.03.2016г. №81 </w:t>
      </w:r>
      <w:hyperlink r:id="rId6" w:tgtFrame="ChangingDocument">
        <w:r>
          <w:rPr>
            <w:rFonts w:ascii="Times New Roman" w:hAnsi="Times New Roman"/>
          </w:rPr>
          <w:t>НГР:ru20000201600101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3. При наличии в семье двух или более детей указанной категории, данное право имеет каждый ребенок.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4. Право на безвозмездное получение лечебного питания для детей имеет один из родителей (законных представителей).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5. Взрослые и дети, не отнесенные к категориям пункта 2 настоящего Порядка могут обеспечиваться лечебным питанием за счет личных средств граждан.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6. Основанием для выдачи рецепта на лечебное питание является наличие сведений пациента в региональном сегменте, страдающих заболеваниями, включенными в перечень жизнеугрожающих и хронических прогрессирующих редких (орфанных) заболеваний, приводящих к сокращению продолжительности жизни граждан или их инвалидности, утвержденный постановлением Правительства Российской Федерации от 26 апреля 2012 г. № 403, а также согласно консультативного заключения врача-диетолога, гастроэнтеролога, педиатра, терапевта, медицинской выписки с рекомендациями, протокола врачебной комиссии.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7. Решение об обеспечении лечебным питанием оформляется рецептом по форме №148-1/у-06 утвержденной Министерством здравоохранения РФ от 20.12.2012. №1175 «Об утверждении порядка назначения и выписывания лекарственных препаратов, а также рецептурных бланков на лекарственные препараты, порядка оформления указанных бланков, их учета и хранения».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8. Рецепты на лечебное питание выписываются по форме 148-1/у-06 в трех экземплярах участковым врачом-педиатром амбулаторно-поликлинического учреждения 1 раз в месяц. Первые два экземпляра выдаются получателю лечебного питания, третий экземпляр остается в амбулаторно-поликлиническом учреждении для целей учета и хранения (амбулаторной карты) и в амбулаторной карте больного делается соответствующая запись о выдаче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9. В рецептах указывается ФИО больного, дата рождения, возраст на день выписки рецепта, домашний адрес, диагноз заболевания, наименование лечебного питания, его количества и срок действия рецепта.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10. Рецепт на лечебное питание выписывается из расчёта потребности в питании на 1 месяц с учётом рекомендаций специалистов, с проведением соответствующей записи в амбулаторной карте.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11. Отпуск лечебного питания осуществляется через государственные аптечные учреждения ГАУ «Фарммедтехснаб» Минздрава ЧР согласно разнарядке Минздрава ЧР.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12. Право на получение лечебного питания подтверждается 1 раз в 6 мес.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13. Минздрав ЧР может корректировать первоначальную разнарядку по медицинским организациям в зависимости от реализации лечебного питания.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 ГАУ «Фарммедтехснаб» Минздрава ЧР осуществляет: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14.1. Закупку лечебного питания согласно заявке Минздрава ЧР;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14.2. Отпуск лечебного питания через государственные аптечные учреждения;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14.3. Ежемесячный отчет движения лечебного питания в отдел детства Минздрава ЧР. 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№3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09.07.2015г. №109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7" w:tgtFrame="ChangingDocument">
        <w:r>
          <w:rPr>
            <w:rFonts w:ascii="Times New Roman" w:hAnsi="Times New Roman"/>
          </w:rPr>
          <w:t>НГР:ru20000201500303</w:t>
        </w:r>
      </w:hyperlink>
      <w:r>
        <w:rPr>
          <w:rFonts w:ascii="Times New Roman" w:hAnsi="Times New Roman"/>
        </w:rPr>
        <w:t>}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Норма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расчета детского питания на 1 (одного) ребенка в день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138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909"/>
        <w:gridCol w:w="2003"/>
        <w:gridCol w:w="1618"/>
        <w:gridCol w:w="1607"/>
      </w:tblGrid>
      <w:tr>
        <w:trPr>
          <w:trHeight w:val="326" w:hRule="exact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Норма выдачи</w:t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одного ребенка в день</w:t>
            </w:r>
          </w:p>
        </w:tc>
      </w:tr>
      <w:tr>
        <w:trPr>
          <w:trHeight w:val="326" w:hRule="exact"/>
        </w:trPr>
        <w:tc>
          <w:tcPr>
            <w:tcW w:w="490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продукта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0-6 месяцев ]</w:t>
            </w:r>
          </w:p>
        </w:tc>
        <w:tc>
          <w:tcPr>
            <w:tcW w:w="161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6-12 мес.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1 - 2 года</w:t>
            </w:r>
          </w:p>
        </w:tc>
      </w:tr>
      <w:tr>
        <w:trPr>
          <w:trHeight w:val="317" w:hRule="exact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Адаптированная молочная смесь, мл/гр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390,0/65,0* 1</w:t>
            </w:r>
          </w:p>
        </w:tc>
        <w:tc>
          <w:tcPr>
            <w:tcW w:w="1618" w:type="dxa"/>
            <w:tcBorders>
              <w:top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300,0/50,0*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240,0/40,0*</w:t>
            </w:r>
          </w:p>
        </w:tc>
      </w:tr>
      <w:tr>
        <w:trPr>
          <w:trHeight w:val="336" w:hRule="exact"/>
        </w:trPr>
        <w:tc>
          <w:tcPr>
            <w:tcW w:w="4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Сухая молочная каша, мл</w:t>
            </w:r>
          </w:p>
        </w:tc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18" w:type="dxa"/>
            <w:tcBorders>
              <w:top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150,0/15,0**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firstLine="70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150,0/15,0** </w:t>
            </w:r>
            <w:r>
              <w:rPr>
                <w:rFonts w:ascii="Times New Roman" w:hAnsi="Times New Roman"/>
                <w:vertAlign w:val="superscript"/>
              </w:rPr>
              <w:t>1</w:t>
            </w:r>
          </w:p>
        </w:tc>
      </w:tr>
    </w:tbl>
    <w:p>
      <w:pPr>
        <w:pStyle w:val="Normal"/>
        <w:ind w:firstLine="709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из расчета: 1 мерная ложка = 5.0 гр.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>из расчета 1 мерная ложка = 15.0 гр.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№104</w:t>
      </w:r>
    </w:p>
    <w:p>
      <w:pPr>
        <w:pStyle w:val="Normal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Перечень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заболеваний, при которых предоставляется специализированное лечебное питание больным детям и взрослым, отпускаемое государственными аптечными учреждениями по рецептам врача (фельдшера)</w:t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55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94"/>
        <w:gridCol w:w="7675"/>
        <w:gridCol w:w="2381"/>
      </w:tblGrid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заболевания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Код заболевания по МКБ 10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Целиакия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К90.0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Белково-энергетическая недостаточность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Е43, Е44.0, Е45, Е46</w:t>
            </w:r>
          </w:p>
        </w:tc>
      </w:tr>
      <w:tr>
        <w:trPr>
          <w:cantSplit w:val="true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Нарушение обмена ароматических аминокислот (классическая фенилкетонурия, другие виды гиперфенилаланинемии)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Е70.0, Е70.1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Тирозинемия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Е70.2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Галактоземия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Е74.2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Муковисцидоз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Е84.0, Е84.1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Болезнь «кленового сиропа»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Е71.0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Глютарикацидурия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Е72.3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Другие виды нарушений обмена аминокислот с разветвленной цепью (изовалериановая ацидемия, метилмалоновая ацидемия, пропионовая ацидемия)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Е71.1</w:t>
            </w:r>
          </w:p>
        </w:tc>
      </w:tr>
      <w:tr>
        <w:trPr/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7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Нарушение обмена жирных кислот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Е71.3</w:t>
            </w:r>
          </w:p>
        </w:tc>
      </w:tr>
    </w:tbl>
    <w:p>
      <w:pPr>
        <w:pStyle w:val="Normal"/>
        <w:ind w:firstLine="709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№5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{в ред. приказ Министерства здравоохранения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 от 09.07.2015г. №109</w:t>
      </w:r>
    </w:p>
    <w:p>
      <w:pPr>
        <w:pStyle w:val="Normal"/>
        <w:ind w:firstLine="709"/>
        <w:jc w:val="right"/>
        <w:rPr>
          <w:rFonts w:ascii="Times New Roman" w:hAnsi="Times New Roman"/>
        </w:rPr>
      </w:pPr>
      <w:hyperlink r:id="rId8" w:tgtFrame="ChangingDocument">
        <w:r>
          <w:rPr>
            <w:rFonts w:ascii="Times New Roman" w:hAnsi="Times New Roman"/>
          </w:rPr>
          <w:t>НГР:ru20000201500303</w:t>
        </w:r>
      </w:hyperlink>
      <w:r>
        <w:rPr>
          <w:rFonts w:ascii="Times New Roman" w:hAnsi="Times New Roman"/>
        </w:rPr>
        <w:t>}</w:t>
      </w:r>
    </w:p>
    <w:p>
      <w:pPr>
        <w:pStyle w:val="Normal"/>
        <w:tabs>
          <w:tab w:val="clear" w:pos="708"/>
          <w:tab w:val="left" w:pos="709" w:leader="none"/>
        </w:tabs>
        <w:ind w:left="284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>
      <w:pPr>
        <w:pStyle w:val="Normal"/>
        <w:ind w:hanging="0"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</w:r>
    </w:p>
    <w:p>
      <w:pPr>
        <w:pStyle w:val="Normal"/>
        <w:ind w:left="851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Перечень </w:t>
      </w:r>
    </w:p>
    <w:p>
      <w:pPr>
        <w:pStyle w:val="Normal"/>
        <w:ind w:left="851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медицинских организаций, участвующих в обеспечении </w:t>
      </w:r>
      <w:r>
        <w:rPr>
          <w:rFonts w:ascii="Times New Roman" w:hAnsi="Times New Roman"/>
          <w:bCs/>
        </w:rPr>
        <w:t>детей первых двух лет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Cs/>
        </w:rPr>
        <w:t xml:space="preserve">жизни </w:t>
      </w:r>
      <w:r>
        <w:rPr>
          <w:rFonts w:ascii="Times New Roman" w:hAnsi="Times New Roman"/>
          <w:b/>
        </w:rPr>
        <w:t>с</w:t>
      </w:r>
      <w:r>
        <w:rPr>
          <w:rFonts w:ascii="Times New Roman" w:hAnsi="Times New Roman"/>
        </w:rPr>
        <w:t>пециальными молочными продуктами питания и смесями по рецептам врачей, а также взрослых и детей, нуждающихся в специализированном лечебном питании, в том числе страдающих редкими (орфанными) жизнеугрожающими заболеваниями:</w:t>
      </w:r>
    </w:p>
    <w:p>
      <w:pPr>
        <w:pStyle w:val="Normal"/>
        <w:ind w:left="851"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68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66"/>
        <w:gridCol w:w="6237"/>
      </w:tblGrid>
      <w:tr>
        <w:trPr>
          <w:trHeight w:val="3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МО</w:t>
            </w:r>
          </w:p>
        </w:tc>
      </w:tr>
      <w:tr>
        <w:trPr>
          <w:trHeight w:val="454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«Аргунская ГБ №1»</w:t>
            </w:r>
          </w:p>
        </w:tc>
      </w:tr>
      <w:tr>
        <w:trPr>
          <w:trHeight w:val="419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«Ачхой-Мартановская ЦРБ»</w:t>
            </w:r>
          </w:p>
        </w:tc>
      </w:tr>
      <w:tr>
        <w:trPr>
          <w:trHeight w:val="411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«Веденская ЦРБ»</w:t>
            </w:r>
          </w:p>
        </w:tc>
      </w:tr>
      <w:tr>
        <w:trPr>
          <w:trHeight w:val="403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«Грозненская ЦРБ»</w:t>
            </w:r>
          </w:p>
        </w:tc>
      </w:tr>
      <w:tr>
        <w:trPr>
          <w:trHeight w:val="422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«Гудермесская ЦРБ»</w:t>
            </w:r>
          </w:p>
        </w:tc>
      </w:tr>
      <w:tr>
        <w:trPr>
          <w:trHeight w:val="414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«ДГБ №2 г. Грозного»</w:t>
            </w:r>
          </w:p>
        </w:tc>
      </w:tr>
      <w:tr>
        <w:trPr>
          <w:trHeight w:val="421" w:hRule="atLeast"/>
        </w:trPr>
        <w:tc>
          <w:tcPr>
            <w:tcW w:w="566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237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№1 г. Грозного»</w:t>
            </w:r>
          </w:p>
        </w:tc>
      </w:tr>
      <w:tr>
        <w:trPr>
          <w:trHeight w:val="413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№3 г. Грозного»</w:t>
            </w:r>
          </w:p>
        </w:tc>
      </w:tr>
      <w:tr>
        <w:trPr>
          <w:trHeight w:val="41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№4 г. Грозного»</w:t>
            </w:r>
          </w:p>
        </w:tc>
      </w:tr>
      <w:tr>
        <w:trPr>
          <w:trHeight w:val="410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№5 г. Грозного»</w:t>
            </w:r>
          </w:p>
        </w:tc>
      </w:tr>
      <w:tr>
        <w:trPr>
          <w:trHeight w:val="417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«Курчалоевская ЦРБ»</w:t>
            </w:r>
          </w:p>
        </w:tc>
      </w:tr>
      <w:tr>
        <w:trPr>
          <w:cantSplit w:val="true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«Надтеречная ЦРБ»</w:t>
            </w:r>
          </w:p>
        </w:tc>
      </w:tr>
      <w:tr>
        <w:trPr>
          <w:trHeight w:val="4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«Знаменская РБ №1»</w:t>
            </w:r>
          </w:p>
        </w:tc>
      </w:tr>
      <w:tr>
        <w:trPr>
          <w:trHeight w:val="420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«Наурская ЦРБ»</w:t>
            </w:r>
          </w:p>
        </w:tc>
      </w:tr>
      <w:tr>
        <w:trPr>
          <w:trHeight w:val="399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«Ножай-Юртовская ЦРБ»</w:t>
            </w:r>
          </w:p>
        </w:tc>
      </w:tr>
      <w:tr>
        <w:trPr>
          <w:trHeight w:val="419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«Сунженская ЦРБ»</w:t>
            </w:r>
          </w:p>
        </w:tc>
      </w:tr>
      <w:tr>
        <w:trPr>
          <w:trHeight w:val="410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«Урус-Мартановская ЦРБ»</w:t>
            </w:r>
          </w:p>
        </w:tc>
      </w:tr>
      <w:tr>
        <w:trPr>
          <w:trHeight w:val="416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«Шалинская ЦРБ»</w:t>
            </w:r>
          </w:p>
        </w:tc>
      </w:tr>
      <w:tr>
        <w:trPr>
          <w:trHeight w:val="423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«Шатойская межрайонная больница»</w:t>
            </w:r>
          </w:p>
        </w:tc>
      </w:tr>
      <w:tr>
        <w:trPr>
          <w:trHeight w:val="415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6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«Шелковская ЦРБ»</w:t>
            </w:r>
          </w:p>
        </w:tc>
      </w:tr>
    </w:tbl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2. Медицинские организации, участвующие в обеспечении взрослых и детей, нуждающихся в специализированном лечебном питании, в том числе страдающих редкими (орфанными) жизнеугрожающими заболеваниями: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7387" w:type="dxa"/>
        <w:jc w:val="center"/>
        <w:tblInd w:w="0" w:type="dxa"/>
        <w:tblLayout w:type="fixed"/>
        <w:tblCellMar>
          <w:top w:w="0" w:type="dxa"/>
          <w:left w:w="5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499"/>
        <w:gridCol w:w="6887"/>
      </w:tblGrid>
      <w:tr>
        <w:trPr>
          <w:trHeight w:val="331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 МО</w:t>
            </w:r>
          </w:p>
        </w:tc>
      </w:tr>
      <w:tr>
        <w:trPr>
          <w:trHeight w:val="446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«Аргунская ГБ №1»</w:t>
            </w:r>
          </w:p>
        </w:tc>
      </w:tr>
      <w:tr>
        <w:trPr>
          <w:trHeight w:val="41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«Ачхой-Мартановская ЦРБ»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«Веденская ЦРБ»</w:t>
            </w:r>
          </w:p>
        </w:tc>
      </w:tr>
      <w:tr>
        <w:trPr>
          <w:trHeight w:val="384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«Грозненская ЦРБ»</w:t>
            </w:r>
          </w:p>
        </w:tc>
      </w:tr>
      <w:tr>
        <w:trPr>
          <w:trHeight w:val="41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«Гудермесская ЦРБ»</w:t>
            </w:r>
          </w:p>
        </w:tc>
      </w:tr>
      <w:tr>
        <w:trPr>
          <w:cantSplit w:val="true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«КБ №3 г. Грозного»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«КБ №4 г. Грозного»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«Больница №5 г. Г розного»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«Больница №6 г. Грозного»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№1 г. Грозного»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№2 г. Грозного»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№3 г. Грозного»</w:t>
            </w:r>
          </w:p>
        </w:tc>
      </w:tr>
      <w:tr>
        <w:trPr>
          <w:trHeight w:val="39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№4 г. Г розного»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№5 г. Грозного»</w:t>
            </w:r>
          </w:p>
        </w:tc>
      </w:tr>
      <w:tr>
        <w:trPr>
          <w:trHeight w:val="41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№6 г. Грозного»</w:t>
            </w:r>
          </w:p>
        </w:tc>
      </w:tr>
      <w:tr>
        <w:trPr>
          <w:trHeight w:val="422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«Поликлиника №7 г. Грозного»</w:t>
            </w:r>
          </w:p>
        </w:tc>
      </w:tr>
      <w:tr>
        <w:trPr>
          <w:trHeight w:val="437" w:hRule="exact"/>
        </w:trPr>
        <w:tc>
          <w:tcPr>
            <w:tcW w:w="499" w:type="dxa"/>
            <w:tcBorders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6887" w:type="dxa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№1 г. Грозного»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№3 г. Грозного»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№4 г. Грозного»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«Детская поликлиника №5 г. Грозного»</w:t>
            </w:r>
          </w:p>
        </w:tc>
      </w:tr>
      <w:tr>
        <w:trPr>
          <w:trHeight w:val="422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«Курчалоевская ЦРБ»</w:t>
            </w:r>
          </w:p>
        </w:tc>
      </w:tr>
      <w:tr>
        <w:trPr>
          <w:trHeight w:val="41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«Надтеречная ЦРБ»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«Знаменская РБ №1»</w:t>
            </w:r>
          </w:p>
        </w:tc>
      </w:tr>
      <w:tr>
        <w:trPr>
          <w:trHeight w:val="41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«Наурская ЦРБ»</w:t>
            </w:r>
          </w:p>
        </w:tc>
      </w:tr>
      <w:tr>
        <w:trPr>
          <w:trHeight w:val="39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«Ножай-Юртовская ЦРБ»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«Сунженская ЦРБ»</w:t>
            </w:r>
          </w:p>
        </w:tc>
      </w:tr>
      <w:tr>
        <w:trPr>
          <w:trHeight w:val="40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«Урус-Мартановская ЦРБ»</w:t>
            </w:r>
          </w:p>
        </w:tc>
      </w:tr>
      <w:tr>
        <w:trPr>
          <w:trHeight w:val="40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«Шалинская ЦРБ»</w:t>
            </w:r>
          </w:p>
        </w:tc>
      </w:tr>
      <w:tr>
        <w:trPr>
          <w:trHeight w:val="413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«Шатойская межрайонная больница»</w:t>
            </w:r>
          </w:p>
        </w:tc>
      </w:tr>
      <w:tr>
        <w:trPr>
          <w:trHeight w:val="418" w:hRule="exact"/>
        </w:trPr>
        <w:tc>
          <w:tcPr>
            <w:tcW w:w="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68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ГБУ «Шелковская ЦРБ»</w:t>
            </w:r>
          </w:p>
        </w:tc>
      </w:tr>
    </w:tbl>
    <w:p>
      <w:pPr>
        <w:pStyle w:val="Normal"/>
        <w:ind w:left="5529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№6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№104</w:t>
      </w:r>
    </w:p>
    <w:p>
      <w:pPr>
        <w:pStyle w:val="Normal"/>
        <w:ind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Реестр нуждающихся в детском питании детей первых двух лет жизни*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__________________________________________________</w:t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(наименование медицинской организации)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1077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5"/>
        <w:gridCol w:w="2246"/>
        <w:gridCol w:w="1419"/>
        <w:gridCol w:w="2126"/>
        <w:gridCol w:w="1539"/>
        <w:gridCol w:w="1558"/>
        <w:gridCol w:w="1433"/>
      </w:tblGrid>
      <w:tr>
        <w:trPr>
          <w:cantSplit w:val="true"/>
        </w:trPr>
        <w:tc>
          <w:tcPr>
            <w:tcW w:w="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№</w:t>
            </w:r>
          </w:p>
        </w:tc>
        <w:tc>
          <w:tcPr>
            <w:tcW w:w="224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Ф.И.О.</w:t>
            </w:r>
          </w:p>
        </w:tc>
        <w:tc>
          <w:tcPr>
            <w:tcW w:w="14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год рождения</w:t>
            </w:r>
          </w:p>
        </w:tc>
        <w:tc>
          <w:tcPr>
            <w:tcW w:w="212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вид питания (смешанный, искусственный)</w:t>
            </w:r>
          </w:p>
        </w:tc>
        <w:tc>
          <w:tcPr>
            <w:tcW w:w="15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статус семьи</w:t>
            </w:r>
          </w:p>
        </w:tc>
        <w:tc>
          <w:tcPr>
            <w:tcW w:w="15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вид продукта (смесь, каша)</w:t>
            </w:r>
          </w:p>
        </w:tc>
        <w:tc>
          <w:tcPr>
            <w:tcW w:w="143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кол-во на 1 месяц         (в упак.)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22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15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2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2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22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300" w:hRule="atLeast"/>
        </w:trPr>
        <w:tc>
          <w:tcPr>
            <w:tcW w:w="4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  <w:tc>
          <w:tcPr>
            <w:tcW w:w="224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1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12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3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5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*</w:t>
      </w:r>
      <w:r>
        <w:rPr>
          <w:rFonts w:ascii="Times New Roman" w:hAnsi="Times New Roman"/>
        </w:rPr>
        <w:t xml:space="preserve">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left="552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№7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22.06.2015г. №104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Заявка на специализированное лечебное питание*</w:t>
      </w:r>
    </w:p>
    <w:p>
      <w:pPr>
        <w:pStyle w:val="Normal"/>
        <w:pBdr>
          <w:bottom w:val="single" w:sz="12" w:space="1" w:color="000000"/>
        </w:pBdr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медицинской организации)</w:t>
      </w:r>
    </w:p>
    <w:tbl>
      <w:tblPr>
        <w:tblW w:w="1040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9"/>
        <w:gridCol w:w="1480"/>
        <w:gridCol w:w="1365"/>
        <w:gridCol w:w="1362"/>
        <w:gridCol w:w="1500"/>
        <w:gridCol w:w="2862"/>
        <w:gridCol w:w="1409"/>
      </w:tblGrid>
      <w:tr>
        <w:trPr>
          <w:trHeight w:val="577" w:hRule="atLeast"/>
        </w:trPr>
        <w:tc>
          <w:tcPr>
            <w:tcW w:w="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№</w:t>
            </w:r>
          </w:p>
        </w:tc>
        <w:tc>
          <w:tcPr>
            <w:tcW w:w="14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Ф.И.О.</w:t>
            </w:r>
          </w:p>
        </w:tc>
        <w:tc>
          <w:tcPr>
            <w:tcW w:w="136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Дата рождения</w:t>
            </w:r>
          </w:p>
        </w:tc>
        <w:tc>
          <w:tcPr>
            <w:tcW w:w="13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Диагноз</w:t>
            </w:r>
          </w:p>
        </w:tc>
        <w:tc>
          <w:tcPr>
            <w:tcW w:w="15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Домашний адрес</w:t>
            </w:r>
          </w:p>
        </w:tc>
        <w:tc>
          <w:tcPr>
            <w:tcW w:w="2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Наименование продукта</w:t>
            </w:r>
          </w:p>
        </w:tc>
        <w:tc>
          <w:tcPr>
            <w:tcW w:w="14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кол-во на 1 месяц          (в упак.)</w:t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</w:tr>
      <w:tr>
        <w:trPr>
          <w:trHeight w:val="281" w:hRule="atLeast"/>
          <w:cantSplit w:val="true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296" w:hRule="atLeast"/>
        </w:trPr>
        <w:tc>
          <w:tcPr>
            <w:tcW w:w="4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…</w:t>
            </w:r>
          </w:p>
        </w:tc>
        <w:tc>
          <w:tcPr>
            <w:tcW w:w="148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3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0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40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 xml:space="preserve">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Приложение №8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 приказу Минздрава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Чеченской Республики</w:t>
      </w:r>
    </w:p>
    <w:p>
      <w:pPr>
        <w:pStyle w:val="Normal"/>
        <w:ind w:left="5529" w:hanging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от 22.06. 2015г. №104</w:t>
      </w:r>
    </w:p>
    <w:p>
      <w:pPr>
        <w:pStyle w:val="Normal"/>
        <w:ind w:left="552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left="5529"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Отчет о движении детского питания для детей первых двух лет жизни</w:t>
      </w:r>
    </w:p>
    <w:p>
      <w:pPr>
        <w:pStyle w:val="Normal"/>
        <w:ind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9"/>
        <w:gridCol w:w="1715"/>
        <w:gridCol w:w="1049"/>
        <w:gridCol w:w="1624"/>
        <w:gridCol w:w="1134"/>
        <w:gridCol w:w="1560"/>
        <w:gridCol w:w="2267"/>
      </w:tblGrid>
      <w:tr>
        <w:trPr>
          <w:trHeight w:val="261" w:hRule="atLeast"/>
        </w:trPr>
        <w:tc>
          <w:tcPr>
            <w:tcW w:w="53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Наименование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питания</w:t>
            </w:r>
          </w:p>
        </w:tc>
        <w:tc>
          <w:tcPr>
            <w:tcW w:w="104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Остаток на начало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месяца</w:t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Приход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Расход*</w:t>
            </w:r>
          </w:p>
        </w:tc>
        <w:tc>
          <w:tcPr>
            <w:tcW w:w="22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остаток на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конец месяца</w:t>
            </w:r>
          </w:p>
        </w:tc>
      </w:tr>
      <w:tr>
        <w:trPr>
          <w:trHeight w:val="295" w:hRule="atLeast"/>
        </w:trPr>
        <w:tc>
          <w:tcPr>
            <w:tcW w:w="53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04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№ </w:t>
            </w:r>
            <w:r>
              <w:rPr>
                <w:rFonts w:ascii="Times New Roman" w:hAnsi="Times New Roman"/>
              </w:rPr>
              <w:t>и дата приходного документа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кол-во</w:t>
            </w:r>
          </w:p>
        </w:tc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27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7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*Заполняется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Ответственное лицо: _____________        ____________           ___________________________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должность                подпись</w:t>
        <w:tab/>
        <w:tab/>
        <w:tab/>
        <w:t xml:space="preserve">         ФИО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Дата составления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center"/>
        <w:rPr>
          <w:rFonts w:ascii="Times New Roman" w:hAnsi="Times New Roman"/>
          <w:b/>
          <w:b/>
        </w:rPr>
      </w:pPr>
      <w:r>
        <w:rPr>
          <w:rFonts w:ascii="Times New Roman" w:hAnsi="Times New Roman"/>
          <w:b/>
        </w:rPr>
        <w:t>Расход необходимо подтверждать реестром отпущенного питания по следующей форме:</w:t>
      </w:r>
    </w:p>
    <w:tbl>
      <w:tblPr>
        <w:tblW w:w="988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75"/>
        <w:gridCol w:w="2551"/>
        <w:gridCol w:w="1701"/>
        <w:gridCol w:w="1560"/>
        <w:gridCol w:w="1701"/>
        <w:gridCol w:w="1700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Номер, серия и дата рецепта по которому отпущено питание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Фамилия, имя, отчество ребенка получившего питание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Отпущенное количество питания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Дата отпуска питания по рецепту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Примечание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…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</w:tbl>
    <w:p>
      <w:pPr>
        <w:pStyle w:val="Normal"/>
        <w:ind w:hanging="0"/>
        <w:jc w:val="left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**</w:t>
      </w:r>
      <w:r>
        <w:rPr>
          <w:rFonts w:ascii="Times New Roman" w:hAnsi="Times New Roman"/>
        </w:rPr>
        <w:t xml:space="preserve">Заполняется в формате </w:t>
      </w:r>
      <w:r>
        <w:rPr>
          <w:rFonts w:ascii="Times New Roman" w:hAnsi="Times New Roman"/>
          <w:lang w:val="en-US"/>
        </w:rPr>
        <w:t>Excel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Ответственное лицо: _____________        ____________           ___________________________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 xml:space="preserve">      должность                подпись</w:t>
        <w:tab/>
        <w:tab/>
        <w:tab/>
        <w:t xml:space="preserve">         ФИО</w:t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ind w:hanging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  <w:t>Дата составления</w:t>
      </w:r>
    </w:p>
    <w:sectPr>
      <w:type w:val="nextPage"/>
      <w:pgSz w:w="11906" w:h="16838"/>
      <w:pgMar w:left="1134" w:right="567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ourier">
    <w:altName w:val="Courier New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a927e8"/>
    <w:pPr>
      <w:widowControl/>
      <w:bidi w:val="0"/>
      <w:spacing w:before="0" w:after="0"/>
      <w:ind w:firstLine="567"/>
      <w:jc w:val="both"/>
    </w:pPr>
    <w:rPr>
      <w:rFonts w:ascii="Arial" w:hAnsi="Arial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Normal"/>
    <w:next w:val="Normal"/>
    <w:qFormat/>
    <w:rsid w:val="00a927e8"/>
    <w:pPr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2">
    <w:name w:val="Heading 2"/>
    <w:basedOn w:val="Normal"/>
    <w:qFormat/>
    <w:rsid w:val="00a927e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Normal"/>
    <w:qFormat/>
    <w:rsid w:val="00a927e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Normal"/>
    <w:qFormat/>
    <w:rsid w:val="00a927e8"/>
    <w:pPr>
      <w:outlineLvl w:val="3"/>
    </w:pPr>
    <w:rPr>
      <w:b/>
      <w:bCs/>
      <w:sz w:val="26"/>
      <w:szCs w:val="28"/>
    </w:rPr>
  </w:style>
  <w:style w:type="character" w:styleId="DefaultParagraphFont" w:default="1">
    <w:name w:val="Default Paragraph Font"/>
    <w:semiHidden/>
    <w:qFormat/>
    <w:rsid w:val="00a927e8"/>
    <w:rPr/>
  </w:style>
  <w:style w:type="character" w:styleId="HTMLVariable">
    <w:name w:val="HTML Variable"/>
    <w:basedOn w:val="DefaultParagraphFont"/>
    <w:qFormat/>
    <w:rsid w:val="00a927e8"/>
    <w:rPr>
      <w:rFonts w:ascii="Arial" w:hAnsi="Arial"/>
      <w:b w:val="false"/>
      <w:i w:val="false"/>
      <w:iCs/>
      <w:color w:val="0000FF"/>
      <w:sz w:val="24"/>
      <w:u w:val="none"/>
    </w:rPr>
  </w:style>
  <w:style w:type="character" w:styleId="Style10">
    <w:name w:val="Интернет-ссылка"/>
    <w:basedOn w:val="DefaultParagraphFont"/>
    <w:rsid w:val="00a927e8"/>
    <w:rPr>
      <w:color w:val="0000FF"/>
      <w:u w:val="none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Mang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Mangal"/>
    </w:rPr>
  </w:style>
  <w:style w:type="paragraph" w:styleId="Annotationtext">
    <w:name w:val="annotation text"/>
    <w:basedOn w:val="Normal"/>
    <w:semiHidden/>
    <w:qFormat/>
    <w:rsid w:val="00a927e8"/>
    <w:pPr/>
    <w:rPr>
      <w:rFonts w:ascii="Courier" w:hAnsi="Courier"/>
      <w:sz w:val="22"/>
      <w:szCs w:val="20"/>
    </w:rPr>
  </w:style>
  <w:style w:type="paragraph" w:styleId="Title" w:customStyle="1">
    <w:name w:val="Title!Название НПА"/>
    <w:basedOn w:val="Normal"/>
    <w:qFormat/>
    <w:rsid w:val="00a927e8"/>
    <w:pPr>
      <w:spacing w:before="240" w:after="60"/>
      <w:jc w:val="center"/>
      <w:outlineLvl w:val="0"/>
    </w:pPr>
    <w:rPr>
      <w:rFonts w:cs="Arial"/>
      <w:b/>
      <w:bCs/>
      <w:kern w:val="2"/>
      <w:sz w:val="32"/>
      <w:szCs w:val="32"/>
    </w:rPr>
  </w:style>
  <w:style w:type="paragraph" w:styleId="Application" w:customStyle="1">
    <w:name w:val="Application!Приложение"/>
    <w:qFormat/>
    <w:rsid w:val="00a927e8"/>
    <w:pPr>
      <w:widowControl/>
      <w:bidi w:val="0"/>
      <w:spacing w:before="120" w:after="120"/>
      <w:jc w:val="right"/>
    </w:pPr>
    <w:rPr>
      <w:rFonts w:ascii="Arial" w:hAnsi="Arial" w:cs="Arial" w:eastAsia="Times New Roman"/>
      <w:b/>
      <w:bCs/>
      <w:color w:val="auto"/>
      <w:kern w:val="2"/>
      <w:sz w:val="32"/>
      <w:szCs w:val="32"/>
      <w:lang w:val="ru-RU" w:eastAsia="ru-RU" w:bidi="ar-SA"/>
    </w:rPr>
  </w:style>
  <w:style w:type="paragraph" w:styleId="Table" w:customStyle="1">
    <w:name w:val="Table!Таблица"/>
    <w:qFormat/>
    <w:rsid w:val="00a927e8"/>
    <w:pPr>
      <w:widowControl/>
      <w:bidi w:val="0"/>
      <w:spacing w:before="0" w:after="0"/>
      <w:jc w:val="left"/>
    </w:pPr>
    <w:rPr>
      <w:rFonts w:ascii="Arial" w:hAnsi="Arial" w:cs="Arial" w:eastAsia="Times New Roman"/>
      <w:bCs/>
      <w:color w:val="auto"/>
      <w:kern w:val="2"/>
      <w:sz w:val="24"/>
      <w:szCs w:val="32"/>
      <w:lang w:val="ru-RU" w:eastAsia="ru-RU" w:bidi="ar-SA"/>
    </w:rPr>
  </w:style>
  <w:style w:type="paragraph" w:styleId="Table1" w:customStyle="1">
    <w:name w:val="Table!"/>
    <w:next w:val="Table"/>
    <w:qFormat/>
    <w:rsid w:val="00a927e8"/>
    <w:pPr>
      <w:widowControl/>
      <w:bidi w:val="0"/>
      <w:spacing w:before="0" w:after="0"/>
      <w:jc w:val="center"/>
    </w:pPr>
    <w:rPr>
      <w:rFonts w:ascii="Arial" w:hAnsi="Arial" w:cs="Arial" w:eastAsia="Times New Roman"/>
      <w:b/>
      <w:bCs/>
      <w:color w:val="auto"/>
      <w:kern w:val="2"/>
      <w:sz w:val="24"/>
      <w:szCs w:val="32"/>
      <w:lang w:val="ru-RU" w:eastAsia="ru-RU" w:bidi="ar-SA"/>
    </w:rPr>
  </w:style>
  <w:style w:type="paragraph" w:styleId="NumberAndDate" w:customStyle="1">
    <w:name w:val="NumberAndDate"/>
    <w:qFormat/>
    <w:rsid w:val="00a927e8"/>
    <w:pPr>
      <w:widowControl/>
      <w:bidi w:val="0"/>
      <w:spacing w:before="0" w:after="0"/>
      <w:jc w:val="center"/>
    </w:pPr>
    <w:rPr>
      <w:rFonts w:ascii="Arial" w:hAnsi="Arial" w:cs="Arial" w:eastAsia="Times New Roman"/>
      <w:bCs/>
      <w:color w:val="auto"/>
      <w:kern w:val="2"/>
      <w:sz w:val="24"/>
      <w:szCs w:val="32"/>
      <w:lang w:val="ru-RU" w:eastAsia="ru-RU" w:bidi="ar-SA"/>
    </w:rPr>
  </w:style>
  <w:style w:type="paragraph" w:styleId="Institution" w:customStyle="1">
    <w:name w:val="Institution!Орган принятия"/>
    <w:basedOn w:val="NumberAndDate"/>
    <w:next w:val="Normal"/>
    <w:qFormat/>
    <w:rsid w:val="00a927e8"/>
    <w:pPr/>
    <w:rPr>
      <w:sz w:val="28"/>
    </w:rPr>
  </w:style>
  <w:style w:type="numbering" w:styleId="NoList" w:default="1">
    <w:name w:val="No List"/>
    <w:semiHidden/>
    <w:qFormat/>
    <w:rsid w:val="00a927e8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../../../../../../content/act/bb9b6675-6f5e-45cc-96c9-823569c3fb77.doc" TargetMode="External"/><Relationship Id="rId3" Type="http://schemas.openxmlformats.org/officeDocument/2006/relationships/hyperlink" Target="../../../../../../content/act/cfc11567-7330-48ad-a588-29ba790cf314.doc" TargetMode="External"/><Relationship Id="rId4" Type="http://schemas.openxmlformats.org/officeDocument/2006/relationships/hyperlink" Target="../../../../../../content/act/f5d80c23-a0b7-4b84-b845-60f50b73db63.doc" TargetMode="External"/><Relationship Id="rId5" Type="http://schemas.openxmlformats.org/officeDocument/2006/relationships/hyperlink" Target="../../../../../../content/act/cfc11567-7330-48ad-a588-29ba790cf314.doc" TargetMode="External"/><Relationship Id="rId6" Type="http://schemas.openxmlformats.org/officeDocument/2006/relationships/hyperlink" Target="../../../../../../content/act/cfc11567-7330-48ad-a588-29ba790cf314.doc" TargetMode="External"/><Relationship Id="rId7" Type="http://schemas.openxmlformats.org/officeDocument/2006/relationships/hyperlink" Target="../../../../../../content/act/bb9b6675-6f5e-45cc-96c9-823569c3fb77.doc" TargetMode="External"/><Relationship Id="rId8" Type="http://schemas.openxmlformats.org/officeDocument/2006/relationships/hyperlink" Target="../../../../../../content/act/bb9b6675-6f5e-45cc-96c9-823569c3fb77.doc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2</TotalTime>
  <Application>LibreOffice/7.1.3.2$Windows_X86_64 LibreOffice_project/47f78053abe362b9384784d31a6e56f8511eb1c1</Application>
  <AppVersion>15.0000</AppVersion>
  <Pages>9</Pages>
  <Words>2259</Words>
  <Characters>15104</Characters>
  <CharactersWithSpaces>17156</CharactersWithSpaces>
  <Paragraphs>348</Paragraphs>
  <Company>БЦПИ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2016-11-14T06:56:00Z</dcterms:created>
  <dc:creator>ixpert-pc</dc:creator>
  <dc:description/>
  <dc:language>ru-RU</dc:language>
  <cp:lastModifiedBy/>
  <cp:lastPrinted>1900-12-31T20:00:00Z</cp:lastPrinted>
  <dcterms:modified xsi:type="dcterms:W3CDTF">2021-07-29T16:09:07Z</dcterms:modified>
  <cp:revision>2</cp:revision>
  <dc:subject/>
  <dc:title>ГУБЕРНАТОР КАМЧАТСКОГО КРАЯ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T_CONFORM">
    <vt:lpwstr>2</vt:lpwstr>
  </property>
  <property fmtid="{D5CDD505-2E9C-101B-9397-08002B2CF9AE}" pid="3" name="ET_DATE_ORG">
    <vt:lpwstr>02.08.2007;</vt:lpwstr>
  </property>
  <property fmtid="{D5CDD505-2E9C-101B-9397-08002B2CF9AE}" pid="4" name="ET_EDIT_DATE">
    <vt:lpwstr>02.08.2007</vt:lpwstr>
  </property>
  <property fmtid="{D5CDD505-2E9C-101B-9397-08002B2CF9AE}" pid="5" name="ET_FIO">
    <vt:lpwstr>Администратор</vt:lpwstr>
  </property>
  <property fmtid="{D5CDD505-2E9C-101B-9397-08002B2CF9AE}" pid="6" name="ET_INPUT_DATE">
    <vt:lpwstr>21.08.2007</vt:lpwstr>
  </property>
  <property fmtid="{D5CDD505-2E9C-101B-9397-08002B2CF9AE}" pid="7" name="ET_IS_UPDATE">
    <vt:lpwstr>1</vt:lpwstr>
  </property>
  <property fmtid="{D5CDD505-2E9C-101B-9397-08002B2CF9AE}" pid="8" name="ET_KINDS">
    <vt:lpwstr>постановление;</vt:lpwstr>
  </property>
  <property fmtid="{D5CDD505-2E9C-101B-9397-08002B2CF9AE}" pid="9" name="ET_LOGIN">
    <vt:lpwstr>admin</vt:lpwstr>
  </property>
  <property fmtid="{D5CDD505-2E9C-101B-9397-08002B2CF9AE}" pid="10" name="ET_NGR">
    <vt:lpwstr>ru91000200700021  </vt:lpwstr>
  </property>
  <property fmtid="{D5CDD505-2E9C-101B-9397-08002B2CF9AE}" pid="11" name="ET_NUM_ORG">
    <vt:lpwstr>35;</vt:lpwstr>
  </property>
  <property fmtid="{D5CDD505-2E9C-101B-9397-08002B2CF9AE}" pid="12" name="ET_ORGANS">
    <vt:lpwstr>Губернатор Камчатского края;</vt:lpwstr>
  </property>
  <property fmtid="{D5CDD505-2E9C-101B-9397-08002B2CF9AE}" pid="13" name="ET_PASS">
    <vt:lpwstr/>
  </property>
  <property fmtid="{D5CDD505-2E9C-101B-9397-08002B2CF9AE}" pid="14" name="ET_REAL">
    <vt:lpwstr>1</vt:lpwstr>
  </property>
  <property fmtid="{D5CDD505-2E9C-101B-9397-08002B2CF9AE}" pid="15" name="ET_REGIONS">
    <vt:lpwstr>ru;ru91;</vt:lpwstr>
  </property>
  <property fmtid="{D5CDD505-2E9C-101B-9397-08002B2CF9AE}" pid="16" name="ET_REG_DATE">
    <vt:lpwstr>21.08.2007</vt:lpwstr>
  </property>
  <property fmtid="{D5CDD505-2E9C-101B-9397-08002B2CF9AE}" pid="17" name="ET_REG_NUMBER">
    <vt:lpwstr>ru91000200700021  </vt:lpwstr>
  </property>
  <property fmtid="{D5CDD505-2E9C-101B-9397-08002B2CF9AE}" pid="18" name="ET_START_DATE">
    <vt:lpwstr>02.08.2007</vt:lpwstr>
  </property>
  <property fmtid="{D5CDD505-2E9C-101B-9397-08002B2CF9AE}" pid="19" name="ET_SUBMISSION_DATE">
    <vt:lpwstr>15.08.2007</vt:lpwstr>
  </property>
  <property fmtid="{D5CDD505-2E9C-101B-9397-08002B2CF9AE}" pid="20" name="ET_THEMES">
    <vt:lpwstr/>
  </property>
  <property fmtid="{D5CDD505-2E9C-101B-9397-08002B2CF9AE}" pid="21" name="ET_TYPES">
    <vt:lpwstr>НОРМАТИВНЫЙ АКТ;</vt:lpwstr>
  </property>
  <property fmtid="{D5CDD505-2E9C-101B-9397-08002B2CF9AE}" pid="22" name="ET_UPDATE">
    <vt:lpwstr>06.09.2007</vt:lpwstr>
  </property>
</Properties>
</file>