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ПРАВИТЕЛЬСТВО СЕВАСТОПОЛЯ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ПОСТАНОВЛЕНИЕ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08.02.2016                                                N 52-ПП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bCs/>
          <w:kern w:val="28"/>
          <w:sz w:val="32"/>
          <w:szCs w:val="32"/>
        </w:rPr>
      </w:pPr>
      <w:r w:rsidRPr="00B61DB7">
        <w:rPr>
          <w:rFonts w:ascii="Arial" w:hAnsi="Arial" w:cs="Arial"/>
          <w:bCs/>
          <w:kern w:val="28"/>
          <w:sz w:val="32"/>
          <w:szCs w:val="32"/>
        </w:rPr>
        <w:t>Об утверждении Порядка расходования средств бюджета города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B61DB7">
        <w:rPr>
          <w:rFonts w:ascii="Arial" w:hAnsi="Arial" w:cs="Arial"/>
          <w:bCs/>
          <w:kern w:val="28"/>
          <w:sz w:val="32"/>
          <w:szCs w:val="32"/>
        </w:rPr>
        <w:t>Севастополя на организацию и проведение мероприятий в сфере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B61DB7">
        <w:rPr>
          <w:rFonts w:ascii="Arial" w:hAnsi="Arial" w:cs="Arial"/>
          <w:bCs/>
          <w:kern w:val="28"/>
          <w:sz w:val="32"/>
          <w:szCs w:val="32"/>
        </w:rPr>
        <w:t>государственной молодежной политики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 xml:space="preserve">В соответствии с </w:t>
      </w:r>
      <w:hyperlink r:id="rId5" w:history="1">
        <w:r w:rsidRPr="00B61DB7">
          <w:rPr>
            <w:rFonts w:ascii="Arial" w:hAnsi="Arial" w:cs="Arial"/>
            <w:sz w:val="24"/>
            <w:szCs w:val="24"/>
          </w:rPr>
          <w:t>Уставом</w:t>
        </w:r>
      </w:hyperlink>
      <w:r w:rsidRPr="00B61DB7">
        <w:rPr>
          <w:rFonts w:ascii="Arial" w:hAnsi="Arial" w:cs="Arial"/>
          <w:sz w:val="24"/>
          <w:szCs w:val="24"/>
        </w:rPr>
        <w:t xml:space="preserve"> города Севастополя, законами города Севастополя от 30.04.2014 </w:t>
      </w:r>
      <w:hyperlink r:id="rId6" w:history="1">
        <w:r w:rsidRPr="00B61DB7">
          <w:rPr>
            <w:rFonts w:ascii="Arial" w:hAnsi="Arial" w:cs="Arial"/>
            <w:sz w:val="24"/>
            <w:szCs w:val="24"/>
          </w:rPr>
          <w:t>N 5-ЗС</w:t>
        </w:r>
      </w:hyperlink>
      <w:r w:rsidRPr="00B61DB7">
        <w:rPr>
          <w:rFonts w:ascii="Arial" w:hAnsi="Arial" w:cs="Arial"/>
          <w:sz w:val="24"/>
          <w:szCs w:val="24"/>
        </w:rPr>
        <w:t xml:space="preserve"> "О Правительстве Севастополя", от 29.12.2015 </w:t>
      </w:r>
      <w:hyperlink r:id="rId7" w:history="1">
        <w:r w:rsidRPr="00B61DB7">
          <w:rPr>
            <w:rFonts w:ascii="Arial" w:hAnsi="Arial" w:cs="Arial"/>
            <w:sz w:val="24"/>
            <w:szCs w:val="24"/>
          </w:rPr>
          <w:t>N 228-ЗС</w:t>
        </w:r>
      </w:hyperlink>
      <w:r w:rsidRPr="00B61DB7">
        <w:rPr>
          <w:rFonts w:ascii="Arial" w:hAnsi="Arial" w:cs="Arial"/>
          <w:sz w:val="24"/>
          <w:szCs w:val="24"/>
        </w:rPr>
        <w:t xml:space="preserve"> "О бюджете города Севастополя на 2016 год", от 17.04.2015 </w:t>
      </w:r>
      <w:hyperlink r:id="rId8" w:history="1">
        <w:r w:rsidRPr="00B61DB7">
          <w:rPr>
            <w:rFonts w:ascii="Arial" w:hAnsi="Arial" w:cs="Arial"/>
            <w:sz w:val="24"/>
            <w:szCs w:val="24"/>
          </w:rPr>
          <w:t>N 129-ЗС</w:t>
        </w:r>
      </w:hyperlink>
      <w:r w:rsidRPr="00B61DB7">
        <w:rPr>
          <w:rFonts w:ascii="Arial" w:hAnsi="Arial" w:cs="Arial"/>
          <w:sz w:val="24"/>
          <w:szCs w:val="24"/>
        </w:rPr>
        <w:t xml:space="preserve"> "О реализации государственной молодежной политики в городе Севастополе", с целью реализации </w:t>
      </w:r>
      <w:hyperlink r:id="rId9" w:history="1">
        <w:r w:rsidRPr="00B61DB7">
          <w:rPr>
            <w:rFonts w:ascii="Arial" w:hAnsi="Arial" w:cs="Arial"/>
            <w:sz w:val="24"/>
            <w:szCs w:val="24"/>
          </w:rPr>
          <w:t>постановления</w:t>
        </w:r>
      </w:hyperlink>
      <w:r w:rsidRPr="00B61DB7">
        <w:rPr>
          <w:rFonts w:ascii="Arial" w:hAnsi="Arial" w:cs="Arial"/>
          <w:sz w:val="24"/>
          <w:szCs w:val="24"/>
        </w:rPr>
        <w:t xml:space="preserve"> Правительства Севастополя от 26.06.2015 N 549-ПП "Об утверждении Государственной программы "Молодежь Севастополя" на 2015 - 2020 годы", а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61DB7">
        <w:rPr>
          <w:rFonts w:ascii="Arial" w:hAnsi="Arial" w:cs="Arial"/>
          <w:sz w:val="24"/>
          <w:szCs w:val="24"/>
        </w:rPr>
        <w:t>также государственной молодежной политики на территории города Севастополя Правительство Севастополя постановляет: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1. Утвердить </w:t>
      </w:r>
      <w:hyperlink w:anchor="P31" w:history="1">
        <w:r w:rsidRPr="00B61DB7">
          <w:rPr>
            <w:rFonts w:ascii="Arial" w:hAnsi="Arial" w:cs="Arial"/>
            <w:sz w:val="24"/>
            <w:szCs w:val="24"/>
          </w:rPr>
          <w:t>Порядок</w:t>
        </w:r>
      </w:hyperlink>
      <w:r w:rsidRPr="00B61DB7">
        <w:rPr>
          <w:rFonts w:ascii="Arial" w:hAnsi="Arial" w:cs="Arial"/>
          <w:sz w:val="24"/>
          <w:szCs w:val="24"/>
        </w:rPr>
        <w:t xml:space="preserve"> расходования средств бюджета города Севастополя на организацию и проведение мероприятий в сфере государственной молодежной политики (прилагается).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 Настоящее постановление вступает в силу со дня его официального опубликования.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3. Контроль за исполнением настоящего постановления возложить на исполняющего обязанности заместителя Губернатора - Председателя Правительства Севастополя Дубовика Е.Г.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Губернатор города Севастополя,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Председатель Правительства Севастополя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С.И.МЕНЯЙЛО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Утвержден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постановлением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Правительства Севастополя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от 08.02.2016 N 52-ПП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bookmarkStart w:id="0" w:name="P31"/>
      <w:bookmarkEnd w:id="0"/>
      <w:r w:rsidRPr="00B61DB7">
        <w:rPr>
          <w:rFonts w:ascii="Arial" w:hAnsi="Arial" w:cs="Arial"/>
          <w:sz w:val="24"/>
          <w:szCs w:val="24"/>
        </w:rPr>
        <w:t>ПОРЯДОК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РАСХОДОВАНИЯ СРЕДСТВ БЮДЖЕТА ГОРОДА СЕВАСТОПОЛЯ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 ОРГАНИЗАЦИЮ И ПРОВЕДЕНИЕ МЕРОПРИЯТИЙ В СФЕРЕ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ГОСУДАРСТВЕННОЙ МОЛОДЕЖНОЙ ПОЛИТИКИ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1. Настоящий Порядок расходования средств бюджета города Севастополя на организацию и проведение мероприятий в сфере государственной молодежной политики (далее - Порядок) определяет условия финансирования молодежных мероприятий, </w:t>
      </w:r>
      <w:r w:rsidRPr="00B61DB7">
        <w:rPr>
          <w:rFonts w:ascii="Arial" w:hAnsi="Arial" w:cs="Arial"/>
          <w:sz w:val="24"/>
          <w:szCs w:val="24"/>
        </w:rPr>
        <w:lastRenderedPageBreak/>
        <w:t>проводимых на территории города Севастополя, участия севастопольской молодежи в мероприятиях в сфере молодежной политики, проводимых в иных субъектах Российской Федерации.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7B7743">
        <w:rPr>
          <w:rFonts w:ascii="Arial" w:hAnsi="Arial" w:cs="Arial"/>
          <w:sz w:val="24"/>
          <w:szCs w:val="24"/>
          <w:highlight w:val="yellow"/>
        </w:rPr>
        <w:t xml:space="preserve">2. </w:t>
      </w:r>
      <w:proofErr w:type="gramStart"/>
      <w:r w:rsidRPr="007B7743">
        <w:rPr>
          <w:rFonts w:ascii="Arial" w:hAnsi="Arial" w:cs="Arial"/>
          <w:sz w:val="24"/>
          <w:szCs w:val="24"/>
          <w:highlight w:val="yellow"/>
        </w:rPr>
        <w:t xml:space="preserve">Финансовое обеспечение мероприятий в сфере молодежной политики, проводимых на территории города Севастополя (далее - молодежные мероприятия), а также участия молодежи города Севастополя в международных, всероссийских, окружных, межрегиональных молодежных мероприятиях осуществляется за счет средств бюджета города Севастополя на очередной финансовый год в рамках Государственной </w:t>
      </w:r>
      <w:hyperlink r:id="rId10" w:history="1">
        <w:r w:rsidRPr="007B7743">
          <w:rPr>
            <w:rFonts w:ascii="Arial" w:hAnsi="Arial" w:cs="Arial"/>
            <w:sz w:val="24"/>
            <w:szCs w:val="24"/>
            <w:highlight w:val="yellow"/>
          </w:rPr>
          <w:t>программы</w:t>
        </w:r>
      </w:hyperlink>
      <w:r w:rsidRPr="007B7743">
        <w:rPr>
          <w:rFonts w:ascii="Arial" w:hAnsi="Arial" w:cs="Arial"/>
          <w:sz w:val="24"/>
          <w:szCs w:val="24"/>
          <w:highlight w:val="yellow"/>
        </w:rPr>
        <w:t xml:space="preserve"> "Молодежь Севастополя" на 2015 - 2020 годы, утвержденной постановлением Правительства Севастополя от 26.06.2015 N 549-ПП, </w:t>
      </w:r>
      <w:r w:rsidRPr="007B7743">
        <w:rPr>
          <w:rFonts w:ascii="Arial" w:hAnsi="Arial" w:cs="Arial"/>
          <w:color w:val="FF0000"/>
          <w:sz w:val="24"/>
          <w:szCs w:val="24"/>
          <w:highlight w:val="yellow"/>
        </w:rPr>
        <w:t>доходов от оказания</w:t>
      </w:r>
      <w:proofErr w:type="gramEnd"/>
      <w:r w:rsidRPr="007B7743">
        <w:rPr>
          <w:rFonts w:ascii="Arial" w:hAnsi="Arial" w:cs="Arial"/>
          <w:color w:val="FF0000"/>
          <w:sz w:val="24"/>
          <w:szCs w:val="24"/>
          <w:highlight w:val="yellow"/>
        </w:rPr>
        <w:t xml:space="preserve"> платных услуг</w:t>
      </w:r>
      <w:r w:rsidRPr="007B7743">
        <w:rPr>
          <w:rFonts w:ascii="Arial" w:hAnsi="Arial" w:cs="Arial"/>
          <w:sz w:val="24"/>
          <w:szCs w:val="24"/>
          <w:highlight w:val="yellow"/>
        </w:rPr>
        <w:t>, в том числе выручки от реализации билетов, вступительных (организационных) взносов, спонсорских, добровольных взносов и пожертвований, а также за счет иных источников в соответствии с законодательством Российской Федерации.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B61DB7">
        <w:rPr>
          <w:rFonts w:ascii="Arial" w:hAnsi="Arial" w:cs="Arial"/>
          <w:sz w:val="24"/>
          <w:szCs w:val="24"/>
        </w:rPr>
        <w:t xml:space="preserve">Финансовое обеспечение молодежных мероприятий, а также участия молодежи города Севастополя в международных, всероссийских, окружных, межрегиональных молодежных мероприятиях за счет средств бюджета города Севастополя осуществляется на основании и с учетом </w:t>
      </w:r>
      <w:hyperlink w:anchor="P94" w:history="1">
        <w:r w:rsidRPr="00B61DB7">
          <w:rPr>
            <w:rFonts w:ascii="Arial" w:hAnsi="Arial" w:cs="Arial"/>
            <w:sz w:val="24"/>
            <w:szCs w:val="24"/>
          </w:rPr>
          <w:t>норм</w:t>
        </w:r>
      </w:hyperlink>
      <w:r w:rsidRPr="00B61DB7">
        <w:rPr>
          <w:rFonts w:ascii="Arial" w:hAnsi="Arial" w:cs="Arial"/>
          <w:sz w:val="24"/>
          <w:szCs w:val="24"/>
        </w:rPr>
        <w:t xml:space="preserve"> расходов при проведении молодежных мероприятий (приложение к настоящему Порядку), положения (регламента) и сметы расходов на проведение мероприятия, утверждаемых Управлением по делам молодежи и спорта.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4. В настоящем Порядке используются следующие основные понятия: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Молодежное мероприятие - комплекс действий, организованный согласно утвержденному положению (регламенту) и направленный на патриотическое воспитание молодых граждан, трудовое воспитание и трудоустройство молодых граждан, социальную адаптацию молодых граждан, поддержку молодых семей, молодых специалистов и талантливой молодежи, поддержку деятельности молодежных и детских общественных объединений, содействие международному молодежному сотрудничеству, реализацию иных направлений молодежной политики в городе Севастополе.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7B7743">
        <w:rPr>
          <w:rFonts w:ascii="Arial" w:hAnsi="Arial" w:cs="Arial"/>
          <w:sz w:val="24"/>
          <w:szCs w:val="24"/>
          <w:highlight w:val="yellow"/>
        </w:rPr>
        <w:t>Организаторы мероприятия</w:t>
      </w:r>
      <w:bookmarkStart w:id="1" w:name="_GoBack"/>
      <w:bookmarkEnd w:id="1"/>
      <w:r w:rsidRPr="00B61DB7">
        <w:rPr>
          <w:rFonts w:ascii="Arial" w:hAnsi="Arial" w:cs="Arial"/>
          <w:sz w:val="24"/>
          <w:szCs w:val="24"/>
        </w:rPr>
        <w:t xml:space="preserve"> - лица, по инициативе которых проводится мероприятие и (или) которые осуществляют организационное, финансовое и иное обеспечение подготовки и проведения такого мероприятия.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Участники мероприятий - лица, непосредственно принимающие участие в мероприятии (конкурсанты, судьи, члены жюри, актеры, певцы, музыканты и др.), предусмотренные положениями (регламентами) о проведении мероприятий и/или другими регламентирующими документами.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Сопровождающий персонал - лица, выполняющие функции обслуживания мероприятия, предусмотренные в положении (регламенте) о мероприятии и/или других регламентирующих документах, и не участвующие непосредственно в мероприятии (сопровождающие лица, администраторы команд, аккомпаниаторы, хореографы, механики и т.д.).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Обслуживающий персонал - лица, осуществляющие деятельность по подготовке и проведению мероприятия, привлеченные на основе гражданско-правовых договоров.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5. В соответствии с определяемыми Порядком нормами осуществляются расходы: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bookmarkStart w:id="2" w:name="P46"/>
      <w:bookmarkEnd w:id="2"/>
      <w:r w:rsidRPr="00B61DB7">
        <w:rPr>
          <w:rFonts w:ascii="Arial" w:hAnsi="Arial" w:cs="Arial"/>
          <w:sz w:val="24"/>
          <w:szCs w:val="24"/>
        </w:rPr>
        <w:t>5.1. При проведении молодежных мероприятий: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награждение участников мероприятий (кубками, памятными призами, денежными призами);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питанием участников мероприятий и сопровождающего персонала;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проживание участников мероприятий и сопровождающего персонала;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участников мероприятий и сопровождающего персонала фармакологическими препаратами, медикаментами общего лечебного назначения и перевязочными материалами при проведении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bookmarkStart w:id="3" w:name="P51"/>
      <w:bookmarkEnd w:id="3"/>
      <w:r w:rsidRPr="00B61DB7">
        <w:rPr>
          <w:rFonts w:ascii="Arial" w:hAnsi="Arial" w:cs="Arial"/>
          <w:sz w:val="24"/>
          <w:szCs w:val="24"/>
        </w:rPr>
        <w:t xml:space="preserve">5.2. При направлении делегаций города Севастополя для участия в молодежных </w:t>
      </w:r>
      <w:r w:rsidRPr="00B61DB7">
        <w:rPr>
          <w:rFonts w:ascii="Arial" w:hAnsi="Arial" w:cs="Arial"/>
          <w:sz w:val="24"/>
          <w:szCs w:val="24"/>
        </w:rPr>
        <w:lastRenderedPageBreak/>
        <w:t>мероприятиях: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проезд к месту проведения мероприятий и обратно;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питанием участников мероприятий и сопровождающего персонала - членов делегаций города Севастополя;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проживание участников мероприятий и сопровождающего персонала - членов делегаций города Севастополя;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участников мероприятий и сопровождающего персонала - членов делегаций города Севастополя фармакологическими препаратами, медикаментами общего лечебного назначения и перевязочными материалами при проведении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6. Кроме указанных в </w:t>
      </w:r>
      <w:hyperlink w:anchor="P46" w:history="1">
        <w:proofErr w:type="gramStart"/>
        <w:r w:rsidRPr="00B61DB7">
          <w:rPr>
            <w:rFonts w:ascii="Arial" w:hAnsi="Arial" w:cs="Arial"/>
            <w:sz w:val="24"/>
            <w:szCs w:val="24"/>
          </w:rPr>
          <w:t>подпункте</w:t>
        </w:r>
        <w:proofErr w:type="gramEnd"/>
        <w:r w:rsidRPr="00B61DB7">
          <w:rPr>
            <w:rFonts w:ascii="Arial" w:hAnsi="Arial" w:cs="Arial"/>
            <w:sz w:val="24"/>
            <w:szCs w:val="24"/>
          </w:rPr>
          <w:t xml:space="preserve"> 5.1 пункта 5</w:t>
        </w:r>
      </w:hyperlink>
      <w:r w:rsidRPr="00B61DB7">
        <w:rPr>
          <w:rFonts w:ascii="Arial" w:hAnsi="Arial" w:cs="Arial"/>
          <w:sz w:val="24"/>
          <w:szCs w:val="24"/>
        </w:rPr>
        <w:t xml:space="preserve"> Порядка, в сметы расходов на проведение региональных молодежных мероприятий включаются следующие виды расходов: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- приобретение технических средств, костюмов, специальной одежды, сценической обуви, реквизита, канцелярских принадлежностей, сувениров, расходных материалов;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транспортные услуги;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аренде зданий и сооружений (мест проведения мероприятий);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подготовке и оформлению мест проведения мероприятий, организации церемоний открытия и закрытия мероприятия;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информационному обеспечению, компьютерному обеспечению, предоставлению звуковой, световой и иной аппаратуры;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и работы по комплексной организации и проведению мероприятий;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почтово-телеграфные, типографские, полиграфические услуги;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медицинских работников, привлекаемых для обслуживания мероприятий, и услуги бригад скорой помощи;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обеспечение безопасности участников мероприятий;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оплата услуг обслуживающего персонала;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другие расходы, предусмотренные положением (регламентом)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Указанные расходы производятся по действующим на день проведения мероприятия расценкам или договорным ценам в </w:t>
      </w:r>
      <w:proofErr w:type="gramStart"/>
      <w:r w:rsidRPr="00B61DB7">
        <w:rPr>
          <w:rFonts w:ascii="Arial" w:hAnsi="Arial" w:cs="Arial"/>
          <w:sz w:val="24"/>
          <w:szCs w:val="24"/>
        </w:rPr>
        <w:t>объемах</w:t>
      </w:r>
      <w:proofErr w:type="gramEnd"/>
      <w:r w:rsidRPr="00B61DB7">
        <w:rPr>
          <w:rFonts w:ascii="Arial" w:hAnsi="Arial" w:cs="Arial"/>
          <w:sz w:val="24"/>
          <w:szCs w:val="24"/>
        </w:rPr>
        <w:t>, обеспечивающих наиболее рациональное проведение мероприятий и использование средств.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B61DB7">
        <w:rPr>
          <w:rFonts w:ascii="Arial" w:hAnsi="Arial" w:cs="Arial"/>
          <w:sz w:val="24"/>
          <w:szCs w:val="24"/>
        </w:rPr>
        <w:t xml:space="preserve">Кроме указанных в </w:t>
      </w:r>
      <w:hyperlink w:anchor="P51" w:history="1">
        <w:r w:rsidRPr="00B61DB7">
          <w:rPr>
            <w:rFonts w:ascii="Arial" w:hAnsi="Arial" w:cs="Arial"/>
            <w:sz w:val="24"/>
            <w:szCs w:val="24"/>
          </w:rPr>
          <w:t>подпункте 5.2 пункта 5</w:t>
        </w:r>
      </w:hyperlink>
      <w:r w:rsidRPr="00B61DB7">
        <w:rPr>
          <w:rFonts w:ascii="Arial" w:hAnsi="Arial" w:cs="Arial"/>
          <w:sz w:val="24"/>
          <w:szCs w:val="24"/>
        </w:rPr>
        <w:t xml:space="preserve"> Порядка, в сметы расходов на направление делегаций города Севастополя для участия в международных, всероссийских, окружных, межрегиональных молодежных мероприятиях включаются следующие виды расходов: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оформлению багажа, виз и консульского сбора членов делегации, ветеринарного и таможенного оформления животных;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оплата обязательной медицинской страховки;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специализированного автотранспорта по доставке оборудования, инвентаря, животных и т.п.;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оплата организационных взносов;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другие расходы, предусмотренные положением (регламентом)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8. Направление участников на мероприятия осуществляется на основании официального приглашения от организаторов мероприятия.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9. Молодежное мероприятие, организация и проведение которого требует осуществления дополнительных затрат и затрат, превышающих указанные в </w:t>
      </w:r>
      <w:proofErr w:type="gramStart"/>
      <w:r w:rsidRPr="00B61DB7">
        <w:rPr>
          <w:rFonts w:ascii="Arial" w:hAnsi="Arial" w:cs="Arial"/>
          <w:sz w:val="24"/>
          <w:szCs w:val="24"/>
        </w:rPr>
        <w:t>настоящем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Порядке нормы расходования, утверждается постановлением Правительства Севастополя.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Начальник Управления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 делам молодежи и спорта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города Севастополя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</w:t>
      </w:r>
      <w:r w:rsidRPr="00B61DB7">
        <w:rPr>
          <w:rFonts w:ascii="Arial" w:hAnsi="Arial" w:cs="Arial"/>
          <w:sz w:val="24"/>
          <w:szCs w:val="24"/>
        </w:rPr>
        <w:t>О.Н.ВЕЧИРКО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lastRenderedPageBreak/>
        <w:t>Приложение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к Порядку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расходования средств бюджета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города Севастополя на организацию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и проведение мероприятий в сфере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государственной молодежной политики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bookmarkStart w:id="4" w:name="P94"/>
      <w:bookmarkEnd w:id="4"/>
      <w:r w:rsidRPr="00B61DB7">
        <w:rPr>
          <w:rFonts w:ascii="Arial" w:hAnsi="Arial" w:cs="Arial"/>
          <w:sz w:val="24"/>
          <w:szCs w:val="24"/>
        </w:rPr>
        <w:t>Нормы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расходов при проведении мероприятий в сфере </w:t>
      </w:r>
      <w:proofErr w:type="gramStart"/>
      <w:r w:rsidRPr="00B61DB7">
        <w:rPr>
          <w:rFonts w:ascii="Arial" w:hAnsi="Arial" w:cs="Arial"/>
          <w:sz w:val="24"/>
          <w:szCs w:val="24"/>
        </w:rPr>
        <w:t>молодежной</w:t>
      </w:r>
      <w:proofErr w:type="gramEnd"/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политики, </w:t>
      </w:r>
      <w:proofErr w:type="gramStart"/>
      <w:r w:rsidRPr="00B61DB7">
        <w:rPr>
          <w:rFonts w:ascii="Arial" w:hAnsi="Arial" w:cs="Arial"/>
          <w:sz w:val="24"/>
          <w:szCs w:val="24"/>
        </w:rPr>
        <w:t>проводимых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на территории города Севастополя,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направлении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делегаций города Севастополя для участия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в мероприятиях в сфере </w:t>
      </w:r>
      <w:proofErr w:type="gramStart"/>
      <w:r w:rsidRPr="00B61DB7">
        <w:rPr>
          <w:rFonts w:ascii="Arial" w:hAnsi="Arial" w:cs="Arial"/>
          <w:sz w:val="24"/>
          <w:szCs w:val="24"/>
        </w:rPr>
        <w:t>государственной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молодежной политики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1. Нормы расходов на гранты физическим лицам, награждение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победителей и призеров молодежных мероприятий, проводимых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 территории города Севастополя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1. Командные призы - до 5000 рублей на каждого члена команды.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 Индивидуальные призы: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Гран-при - до 25000 рублей;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1-е место - до 15000 рублей;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2-е место - до 10000 рублей;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3-е место - до 8000 рублей.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3. Гранты физическим лицам - до 300000 рублей.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 Нормы расходования на обеспечение питанием участников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молодежных мероприятий и сопровождающего персонала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27"/>
        <w:gridCol w:w="3175"/>
      </w:tblGrid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Нормы расходов на одного человека в день</w:t>
            </w:r>
          </w:p>
        </w:tc>
      </w:tr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обеспечение питанием молодежи - участников молодежных мероприятий, проводимых на территории города Севастополя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560 рублей</w:t>
            </w:r>
          </w:p>
        </w:tc>
      </w:tr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обеспечение питанием молодежи - участников молодежных мероприятий, проводимых на территории остальных регионов Российской Федерации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600 рублей</w:t>
            </w:r>
          </w:p>
        </w:tc>
      </w:tr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обеспечение питанием молодежи - участников молодежных мероприятий, проводимых за пределами территории Российской Федерации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1000 рублей</w:t>
            </w:r>
          </w:p>
        </w:tc>
      </w:tr>
    </w:tbl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2.1. Данные нормы применяются, если оплата питания не предусмотрена принимающей стороной.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2.2. При отсутствии возможностей обеспечения организованного питания в местах проведения мероприятий по безналичным расчетам участникам мероприятий разрешается выдавать наличные деньги по нормам, устанавливаемым настоящим постановлением Правительства Севастополя.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3. Нормы расходов на проживание участников молодежных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мероприятий и сопровождающего персонала при проведении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мероприятий в сфере </w:t>
      </w:r>
      <w:proofErr w:type="gramStart"/>
      <w:r w:rsidRPr="00B61DB7">
        <w:rPr>
          <w:rFonts w:ascii="Arial" w:hAnsi="Arial" w:cs="Arial"/>
          <w:sz w:val="24"/>
          <w:szCs w:val="24"/>
        </w:rPr>
        <w:t>государственной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молодежной политики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 территории города Севастополя, направлении делегаций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города Севастополя для участия в молодежных </w:t>
      </w:r>
      <w:proofErr w:type="gramStart"/>
      <w:r w:rsidRPr="00B61DB7">
        <w:rPr>
          <w:rFonts w:ascii="Arial" w:hAnsi="Arial" w:cs="Arial"/>
          <w:sz w:val="24"/>
          <w:szCs w:val="24"/>
        </w:rPr>
        <w:t>мероприятиях</w:t>
      </w:r>
      <w:proofErr w:type="gramEnd"/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74"/>
        <w:gridCol w:w="5046"/>
      </w:tblGrid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Нормы расходов на одного человека в сутки (предельные нормы)</w:t>
            </w:r>
          </w:p>
        </w:tc>
      </w:tr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проживание молодежи - участников молодежных мероприятий, проводимых на территории города Севастополя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2000 рублей</w:t>
            </w:r>
          </w:p>
        </w:tc>
      </w:tr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проживание молодежи - участников молодежных мероприятий, проводимых на территории остальных регионов Российской Федерации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В размере фактически произведенных расходов, в пределах утвержденной сметы, но не более стоимости однокомнатного (одноместного) номера в месте проживания и не более 3000 руб.</w:t>
            </w:r>
          </w:p>
        </w:tc>
      </w:tr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проживание молодежи - участников молодежных мероприятий, проводимых за пределами Российской Федерации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 xml:space="preserve">В размере фактически произведенных расходов, в пределах утвержденной сметы, но не более </w:t>
            </w:r>
            <w:hyperlink r:id="rId11" w:history="1">
              <w:r w:rsidRPr="00B61DB7">
                <w:rPr>
                  <w:rFonts w:ascii="Arial" w:hAnsi="Arial" w:cs="Arial"/>
                  <w:sz w:val="24"/>
                  <w:szCs w:val="24"/>
                </w:rPr>
                <w:t>норм</w:t>
              </w:r>
            </w:hyperlink>
            <w:r w:rsidRPr="00B61DB7">
              <w:rPr>
                <w:rFonts w:ascii="Arial" w:hAnsi="Arial" w:cs="Arial"/>
                <w:sz w:val="24"/>
                <w:szCs w:val="24"/>
              </w:rPr>
              <w:t>, установленных Приказом Министерства финансов РФ от 02.08.2004 N 64н</w:t>
            </w:r>
          </w:p>
        </w:tc>
      </w:tr>
    </w:tbl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Данные нормы применяются, если оплата проживания не предусмотрена принимающей стороной.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4. Нормы расходов на проезд к месту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проведения мероприятий и обратно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4.1. Оплата билетов производится по действующим тарифам, но не выше стоимости проезда: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- железнодорожным транспортом - в купейном </w:t>
      </w:r>
      <w:proofErr w:type="gramStart"/>
      <w:r w:rsidRPr="00B61DB7">
        <w:rPr>
          <w:rFonts w:ascii="Arial" w:hAnsi="Arial" w:cs="Arial"/>
          <w:sz w:val="24"/>
          <w:szCs w:val="24"/>
        </w:rPr>
        <w:t>вагоне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категории "2К" скорого фирменного поезда;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водным транспортом - в четырехместной каюте с комплексным обслуживанием пассажиров водным транспортом;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- воздушным транспортом - в </w:t>
      </w:r>
      <w:proofErr w:type="gramStart"/>
      <w:r w:rsidRPr="00B61DB7">
        <w:rPr>
          <w:rFonts w:ascii="Arial" w:hAnsi="Arial" w:cs="Arial"/>
          <w:sz w:val="24"/>
          <w:szCs w:val="24"/>
        </w:rPr>
        <w:t>салоне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экономического класса;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- автомобильным транспортом - в автотранспортном </w:t>
      </w:r>
      <w:proofErr w:type="gramStart"/>
      <w:r w:rsidRPr="00B61DB7">
        <w:rPr>
          <w:rFonts w:ascii="Arial" w:hAnsi="Arial" w:cs="Arial"/>
          <w:sz w:val="24"/>
          <w:szCs w:val="24"/>
        </w:rPr>
        <w:t>средстве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общего пользования (кроме такси) - если иное не предусмотрено </w:t>
      </w:r>
      <w:hyperlink w:anchor="P152" w:history="1">
        <w:r w:rsidRPr="00B61DB7">
          <w:rPr>
            <w:rFonts w:ascii="Arial" w:hAnsi="Arial" w:cs="Arial"/>
            <w:sz w:val="24"/>
            <w:szCs w:val="24"/>
          </w:rPr>
          <w:t>пунктом 2</w:t>
        </w:r>
      </w:hyperlink>
      <w:r w:rsidRPr="00B61DB7">
        <w:rPr>
          <w:rFonts w:ascii="Arial" w:hAnsi="Arial" w:cs="Arial"/>
          <w:sz w:val="24"/>
          <w:szCs w:val="24"/>
        </w:rPr>
        <w:t xml:space="preserve"> настоящего раздела.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bookmarkStart w:id="5" w:name="P152"/>
      <w:bookmarkEnd w:id="5"/>
      <w:r w:rsidRPr="00B61DB7">
        <w:rPr>
          <w:rFonts w:ascii="Arial" w:hAnsi="Arial" w:cs="Arial"/>
          <w:sz w:val="24"/>
          <w:szCs w:val="24"/>
        </w:rPr>
        <w:t>4.2. Оплата стоимости проезда автомобильным транспортом в автотранспортном средстве общего пользования (автобусах всех типов) междугородного и пригородного сообщений производится в размере фактических расходов.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5. Нормы расходов на обеспечение безопасности при проведении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молодежных мероприятий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4"/>
        <w:gridCol w:w="3798"/>
      </w:tblGrid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Молодежные мероприятия</w:t>
            </w:r>
          </w:p>
        </w:tc>
        <w:tc>
          <w:tcPr>
            <w:tcW w:w="3798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Стоимость услуг на одного охранника в час</w:t>
            </w:r>
          </w:p>
        </w:tc>
      </w:tr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lastRenderedPageBreak/>
              <w:t>Международные, всероссийские, окружные, межрегиональные, региональные</w:t>
            </w:r>
          </w:p>
        </w:tc>
        <w:tc>
          <w:tcPr>
            <w:tcW w:w="3798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300 рублей</w:t>
            </w:r>
          </w:p>
        </w:tc>
      </w:tr>
    </w:tbl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6. Нормы расходов на обеспечение молодежных мероприятий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услугами бригады скорой медицинской помощи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4"/>
        <w:gridCol w:w="3792"/>
      </w:tblGrid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Молодежные мероприятия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Норма расходования в сутки</w:t>
            </w:r>
          </w:p>
        </w:tc>
      </w:tr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Международные, всероссийские, окружные, межрегиональные, региональные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По фактическим расходам</w:t>
            </w:r>
          </w:p>
        </w:tc>
      </w:tr>
    </w:tbl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7. Нормы расходов на обеспечение участников молодежных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мероприятий фармакологическими препаратами, медикаментами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общего лечебного назначения и </w:t>
      </w:r>
      <w:proofErr w:type="gramStart"/>
      <w:r w:rsidRPr="00B61DB7">
        <w:rPr>
          <w:rFonts w:ascii="Arial" w:hAnsi="Arial" w:cs="Arial"/>
          <w:sz w:val="24"/>
          <w:szCs w:val="24"/>
        </w:rPr>
        <w:t>перевязочными</w:t>
      </w:r>
      <w:proofErr w:type="gramEnd"/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материалами и медицинскими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8"/>
        <w:gridCol w:w="3792"/>
      </w:tblGrid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Нормы расхода на одного человека в сутки</w:t>
            </w:r>
          </w:p>
        </w:tc>
      </w:tr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Фармакологические препараты, медикаменты общего лечебного назначения и перевязочные материалы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150 рублей</w:t>
            </w:r>
          </w:p>
        </w:tc>
      </w:tr>
    </w:tbl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8. Нормы расходов на страхование участников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молодежных мероприятий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8"/>
        <w:gridCol w:w="3797"/>
      </w:tblGrid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Молодежные мероприятия</w:t>
            </w:r>
          </w:p>
        </w:tc>
        <w:tc>
          <w:tcPr>
            <w:tcW w:w="3797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Стоимость услуг страхования на одного человека в день</w:t>
            </w:r>
          </w:p>
        </w:tc>
      </w:tr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Международные, всероссийские, окружные, межрегиональные, региональные</w:t>
            </w:r>
          </w:p>
        </w:tc>
        <w:tc>
          <w:tcPr>
            <w:tcW w:w="379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152 рублей</w:t>
            </w:r>
          </w:p>
        </w:tc>
      </w:tr>
    </w:tbl>
    <w:p w:rsidR="00B61DB7" w:rsidRPr="00B61DB7" w:rsidRDefault="00B61DB7" w:rsidP="00B61DB7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Начальник Управления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 делам молодежи и спорта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города Севастополя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О.Н.ВЕЧИРКО</w:t>
      </w:r>
    </w:p>
    <w:p w:rsidR="00B61DB7" w:rsidRPr="00B61DB7" w:rsidRDefault="00B61DB7" w:rsidP="00B61DB7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rPr>
          <w:rFonts w:cs="Arial"/>
        </w:rPr>
      </w:pPr>
    </w:p>
    <w:p w:rsidR="000F2087" w:rsidRPr="00B61DB7" w:rsidRDefault="000F2087">
      <w:pPr>
        <w:rPr>
          <w:rFonts w:cs="Arial"/>
        </w:rPr>
      </w:pPr>
    </w:p>
    <w:sectPr w:rsidR="000F2087" w:rsidRPr="00B61DB7" w:rsidSect="00B61DB7">
      <w:pgSz w:w="11905" w:h="16838"/>
      <w:pgMar w:top="1134" w:right="567" w:bottom="1134" w:left="1134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A4"/>
    <w:rsid w:val="0000797F"/>
    <w:rsid w:val="00077EAA"/>
    <w:rsid w:val="000F2087"/>
    <w:rsid w:val="002C2721"/>
    <w:rsid w:val="0033788E"/>
    <w:rsid w:val="007B7743"/>
    <w:rsid w:val="00AD22A4"/>
    <w:rsid w:val="00AF444E"/>
    <w:rsid w:val="00B61DB7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0797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0797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0797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0797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0797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61D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61DB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61DB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61DB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0797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0797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61DB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0797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0797F"/>
    <w:rPr>
      <w:color w:val="0000FF"/>
      <w:u w:val="none"/>
    </w:rPr>
  </w:style>
  <w:style w:type="paragraph" w:customStyle="1" w:styleId="Application">
    <w:name w:val="Application!Приложение"/>
    <w:rsid w:val="0000797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0797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0797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0797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0797F"/>
    <w:rPr>
      <w:sz w:val="28"/>
    </w:rPr>
  </w:style>
  <w:style w:type="paragraph" w:customStyle="1" w:styleId="ConsPlusNormal">
    <w:name w:val="ConsPlusNormal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1D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0797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0797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0797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0797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0797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61D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61DB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61DB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61DB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0797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0797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61DB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0797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0797F"/>
    <w:rPr>
      <w:color w:val="0000FF"/>
      <w:u w:val="none"/>
    </w:rPr>
  </w:style>
  <w:style w:type="paragraph" w:customStyle="1" w:styleId="Application">
    <w:name w:val="Application!Приложение"/>
    <w:rsid w:val="0000797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0797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0797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0797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0797F"/>
    <w:rPr>
      <w:sz w:val="28"/>
    </w:rPr>
  </w:style>
  <w:style w:type="paragraph" w:customStyle="1" w:styleId="ConsPlusNormal">
    <w:name w:val="ConsPlusNormal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1D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06F03A5B9B8CF85F33DD6F798132AFAE8D6F7D34EAA5967BA7FE7DCC0C9B04F14A410C185363C81D8F1B8iEd7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06F03A5B9B8CF85F33DD6F798132AFAE8D6F7D34EAA5F67B37FE7DCC0C9B04Fi1d4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06F03A5B9B8CF85F33DD6F798132AFAE8D6F7D346AF5D6BEC28E58D95C7B54744EC008FC03B3D83DDiFd2K" TargetMode="External"/><Relationship Id="rId11" Type="http://schemas.openxmlformats.org/officeDocument/2006/relationships/hyperlink" Target="consultantplus://offline/ref=B06F03A5B9B8CF85F33DC8FA8E7F71F7E0DAA1DC4AAB5136E620BC8197C0BA1853EB49i8d4K" TargetMode="External"/><Relationship Id="rId5" Type="http://schemas.openxmlformats.org/officeDocument/2006/relationships/hyperlink" Target="consultantplus://offline/ref=B06F03A5B9B8CF85F33DD6F798132AFAE8D6F7D346A15C6BEC28E58D95C7iBd5K" TargetMode="External"/><Relationship Id="rId10" Type="http://schemas.openxmlformats.org/officeDocument/2006/relationships/hyperlink" Target="consultantplus://offline/ref=B06F03A5B9B8CF85F33DD6F798132AFAE8D6F7D34EAB5B63BC7FE7DCC0C9B04F14A410C185363C81D9F4B8iEd4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06F03A5B9B8CF85F33DD6F798132AFAE8D6F7D34EAB5B63BC7FE7DCC0C9B04Fi1d4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6</Pages>
  <Words>2104</Words>
  <Characters>11996</Characters>
  <Application>Microsoft Office Word</Application>
  <DocSecurity>0</DocSecurity>
  <Lines>99</Lines>
  <Paragraphs>28</Paragraphs>
  <ScaleCrop>false</ScaleCrop>
  <Company>MINJUST</Company>
  <LinksUpToDate>false</LinksUpToDate>
  <CharactersWithSpaces>14072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Саранча </cp:lastModifiedBy>
  <cp:revision>3</cp:revision>
  <dcterms:created xsi:type="dcterms:W3CDTF">2016-07-26T07:49:00Z</dcterms:created>
  <dcterms:modified xsi:type="dcterms:W3CDTF">2021-07-27T12:24:00Z</dcterms:modified>
</cp:coreProperties>
</file>