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52" w:type="dxa"/>
        <w:tblInd w:w="8" w:type="dxa"/>
        <w:tblLayout w:type="fixed"/>
        <w:tblCellMar>
          <w:left w:w="0" w:type="dxa"/>
          <w:right w:w="0" w:type="dxa"/>
        </w:tblCellMar>
        <w:tblLook w:val="0000" w:firstRow="0" w:lastRow="0" w:firstColumn="0" w:lastColumn="0" w:noHBand="0" w:noVBand="0"/>
      </w:tblPr>
      <w:tblGrid>
        <w:gridCol w:w="567"/>
        <w:gridCol w:w="1560"/>
        <w:gridCol w:w="283"/>
        <w:gridCol w:w="1843"/>
        <w:gridCol w:w="1559"/>
        <w:gridCol w:w="4440"/>
      </w:tblGrid>
      <w:tr w:rsidR="0012510D" w:rsidRPr="0012510D" w:rsidTr="00C4570C">
        <w:trPr>
          <w:cantSplit/>
          <w:trHeight w:val="2700"/>
        </w:trPr>
        <w:tc>
          <w:tcPr>
            <w:tcW w:w="4253" w:type="dxa"/>
            <w:gridSpan w:val="4"/>
          </w:tcPr>
          <w:p w:rsidR="0012510D" w:rsidRPr="0012510D" w:rsidRDefault="0012510D" w:rsidP="0012510D">
            <w:pPr>
              <w:jc w:val="center"/>
              <w:rPr>
                <w:rFonts w:ascii="Arial" w:hAnsi="Arial" w:cs="Arial"/>
                <w:sz w:val="24"/>
                <w:szCs w:val="24"/>
              </w:rPr>
            </w:pPr>
            <w:r w:rsidRPr="0012510D">
              <w:rPr>
                <w:rFonts w:ascii="Arial" w:hAnsi="Arial" w:cs="Arial"/>
                <w:sz w:val="24"/>
                <w:szCs w:val="24"/>
              </w:rPr>
              <w:t>МИНИСТЕРСТВО ЮСТИЦИИ РОССИЙСКОЙ ФЕДЕРАЦИИ</w:t>
            </w:r>
          </w:p>
          <w:p w:rsidR="0012510D" w:rsidRPr="0012510D" w:rsidRDefault="0012510D" w:rsidP="0012510D">
            <w:pPr>
              <w:jc w:val="center"/>
              <w:rPr>
                <w:rFonts w:ascii="Arial" w:hAnsi="Arial" w:cs="Arial"/>
                <w:sz w:val="24"/>
                <w:szCs w:val="24"/>
              </w:rPr>
            </w:pPr>
            <w:r w:rsidRPr="0012510D">
              <w:rPr>
                <w:rFonts w:ascii="Arial" w:hAnsi="Arial" w:cs="Arial"/>
                <w:sz w:val="24"/>
                <w:szCs w:val="24"/>
              </w:rPr>
              <w:t>(МИНЮСТ РОССИИ)</w:t>
            </w:r>
          </w:p>
          <w:p w:rsidR="0012510D" w:rsidRPr="0012510D" w:rsidRDefault="0012510D" w:rsidP="0012510D">
            <w:pPr>
              <w:jc w:val="center"/>
              <w:rPr>
                <w:rFonts w:ascii="Arial" w:hAnsi="Arial" w:cs="Arial"/>
                <w:sz w:val="24"/>
                <w:szCs w:val="24"/>
              </w:rPr>
            </w:pPr>
            <w:r w:rsidRPr="0012510D">
              <w:rPr>
                <w:rFonts w:ascii="Arial" w:hAnsi="Arial" w:cs="Arial"/>
                <w:sz w:val="24"/>
                <w:szCs w:val="24"/>
              </w:rPr>
              <w:t xml:space="preserve">УПРАВЛЕНИЕ </w:t>
            </w:r>
            <w:r w:rsidRPr="0012510D">
              <w:rPr>
                <w:rFonts w:ascii="Arial" w:hAnsi="Arial" w:cs="Arial"/>
                <w:sz w:val="24"/>
                <w:szCs w:val="24"/>
              </w:rPr>
              <w:br/>
              <w:t>МИНИСТЕРСТВА ЮСТИЦИИ</w:t>
            </w:r>
          </w:p>
          <w:p w:rsidR="0012510D" w:rsidRPr="0012510D" w:rsidRDefault="0012510D" w:rsidP="0012510D">
            <w:pPr>
              <w:jc w:val="center"/>
              <w:rPr>
                <w:rFonts w:ascii="Arial" w:hAnsi="Arial" w:cs="Arial"/>
                <w:sz w:val="24"/>
                <w:szCs w:val="24"/>
              </w:rPr>
            </w:pPr>
            <w:r w:rsidRPr="0012510D">
              <w:rPr>
                <w:rFonts w:ascii="Arial" w:hAnsi="Arial" w:cs="Arial"/>
                <w:sz w:val="24"/>
                <w:szCs w:val="24"/>
              </w:rPr>
              <w:t>РОССИЙСКОЙ ФЕДЕРАЦИИ</w:t>
            </w:r>
          </w:p>
          <w:p w:rsidR="0012510D" w:rsidRPr="0012510D" w:rsidRDefault="0012510D" w:rsidP="0012510D">
            <w:pPr>
              <w:jc w:val="center"/>
              <w:rPr>
                <w:rFonts w:ascii="Arial" w:hAnsi="Arial" w:cs="Arial"/>
                <w:sz w:val="24"/>
                <w:szCs w:val="24"/>
              </w:rPr>
            </w:pPr>
            <w:r w:rsidRPr="0012510D">
              <w:rPr>
                <w:rFonts w:ascii="Arial" w:hAnsi="Arial" w:cs="Arial"/>
                <w:sz w:val="24"/>
                <w:szCs w:val="24"/>
              </w:rPr>
              <w:t>ПО АЛТАЙСКОМУ КРАЮ</w:t>
            </w:r>
          </w:p>
          <w:p w:rsidR="0012510D" w:rsidRPr="0012510D" w:rsidRDefault="0012510D" w:rsidP="0012510D">
            <w:pPr>
              <w:jc w:val="center"/>
              <w:rPr>
                <w:rFonts w:ascii="Arial" w:hAnsi="Arial" w:cs="Arial"/>
                <w:sz w:val="24"/>
                <w:szCs w:val="24"/>
              </w:rPr>
            </w:pPr>
          </w:p>
          <w:p w:rsidR="0012510D" w:rsidRPr="0012510D" w:rsidRDefault="0012510D" w:rsidP="0012510D">
            <w:pPr>
              <w:jc w:val="center"/>
              <w:rPr>
                <w:rFonts w:ascii="Arial" w:hAnsi="Arial" w:cs="Arial"/>
                <w:sz w:val="24"/>
                <w:szCs w:val="24"/>
              </w:rPr>
            </w:pPr>
            <w:r w:rsidRPr="0012510D">
              <w:rPr>
                <w:rFonts w:ascii="Arial" w:hAnsi="Arial" w:cs="Arial"/>
                <w:sz w:val="24"/>
                <w:szCs w:val="24"/>
              </w:rPr>
              <w:t xml:space="preserve">656056 г. Барнаул, пр. Ленина, 8 </w:t>
            </w:r>
            <w:r w:rsidRPr="0012510D">
              <w:rPr>
                <w:rFonts w:ascii="Arial" w:hAnsi="Arial" w:cs="Arial"/>
                <w:sz w:val="24"/>
                <w:szCs w:val="24"/>
              </w:rPr>
              <w:br/>
              <w:t>тел/факс: (385 2) 24-94-20, факс: (385 2) 24-38-52</w:t>
            </w:r>
          </w:p>
          <w:p w:rsidR="0012510D" w:rsidRPr="0012510D" w:rsidRDefault="0012510D" w:rsidP="0012510D">
            <w:pPr>
              <w:jc w:val="center"/>
              <w:rPr>
                <w:rFonts w:ascii="Arial" w:hAnsi="Arial" w:cs="Arial"/>
                <w:sz w:val="24"/>
                <w:szCs w:val="24"/>
                <w:lang w:val="en-US"/>
              </w:rPr>
            </w:pPr>
            <w:r w:rsidRPr="0012510D">
              <w:rPr>
                <w:rFonts w:ascii="Arial" w:hAnsi="Arial" w:cs="Arial"/>
                <w:sz w:val="24"/>
                <w:szCs w:val="24"/>
                <w:lang w:val="en-US"/>
              </w:rPr>
              <w:t>e-mail: ru22@minjust.ru</w:t>
            </w:r>
          </w:p>
        </w:tc>
        <w:tc>
          <w:tcPr>
            <w:tcW w:w="1559" w:type="dxa"/>
            <w:vMerge w:val="restart"/>
          </w:tcPr>
          <w:p w:rsidR="0012510D" w:rsidRPr="0012510D" w:rsidRDefault="0012510D" w:rsidP="0012510D">
            <w:pPr>
              <w:jc w:val="center"/>
              <w:rPr>
                <w:rFonts w:ascii="Arial" w:hAnsi="Arial" w:cs="Arial"/>
                <w:sz w:val="24"/>
                <w:szCs w:val="24"/>
                <w:lang w:val="en-US"/>
              </w:rPr>
            </w:pPr>
          </w:p>
          <w:p w:rsidR="0012510D" w:rsidRPr="0012510D" w:rsidRDefault="0012510D" w:rsidP="0012510D">
            <w:pPr>
              <w:jc w:val="center"/>
              <w:rPr>
                <w:rFonts w:ascii="Arial" w:hAnsi="Arial" w:cs="Arial"/>
                <w:sz w:val="24"/>
                <w:szCs w:val="24"/>
                <w:lang w:val="en-US"/>
              </w:rPr>
            </w:pPr>
          </w:p>
          <w:p w:rsidR="0012510D" w:rsidRPr="0012510D" w:rsidRDefault="0012510D" w:rsidP="0012510D">
            <w:pPr>
              <w:jc w:val="center"/>
              <w:rPr>
                <w:rFonts w:ascii="Arial" w:hAnsi="Arial" w:cs="Arial"/>
                <w:sz w:val="24"/>
                <w:szCs w:val="24"/>
                <w:lang w:val="en-US"/>
              </w:rPr>
            </w:pPr>
          </w:p>
        </w:tc>
        <w:tc>
          <w:tcPr>
            <w:tcW w:w="4440" w:type="dxa"/>
            <w:vMerge w:val="restart"/>
          </w:tcPr>
          <w:p w:rsidR="0012510D" w:rsidRPr="0012510D" w:rsidRDefault="0012510D" w:rsidP="0012510D">
            <w:pPr>
              <w:jc w:val="center"/>
              <w:rPr>
                <w:rFonts w:ascii="Arial" w:hAnsi="Arial" w:cs="Arial"/>
                <w:sz w:val="24"/>
                <w:szCs w:val="24"/>
                <w:lang w:val="en-US"/>
              </w:rPr>
            </w:pPr>
          </w:p>
          <w:p w:rsidR="0012510D" w:rsidRPr="0012510D" w:rsidRDefault="0012510D" w:rsidP="0012510D">
            <w:pPr>
              <w:jc w:val="center"/>
              <w:rPr>
                <w:rFonts w:ascii="Arial" w:hAnsi="Arial" w:cs="Arial"/>
                <w:sz w:val="24"/>
                <w:szCs w:val="24"/>
                <w:lang w:val="en-US"/>
              </w:rPr>
            </w:pPr>
          </w:p>
          <w:p w:rsidR="0012510D" w:rsidRPr="0012510D" w:rsidRDefault="0012510D" w:rsidP="0012510D">
            <w:pPr>
              <w:jc w:val="center"/>
              <w:rPr>
                <w:rFonts w:ascii="Arial" w:hAnsi="Arial" w:cs="Arial"/>
                <w:sz w:val="24"/>
                <w:szCs w:val="24"/>
              </w:rPr>
            </w:pPr>
            <w:r w:rsidRPr="0012510D">
              <w:rPr>
                <w:rFonts w:ascii="Arial" w:hAnsi="Arial" w:cs="Arial"/>
                <w:sz w:val="24"/>
                <w:szCs w:val="24"/>
              </w:rPr>
              <w:t>Начальнику управления Алтайского края по культуре и архивному делу</w:t>
            </w:r>
          </w:p>
          <w:p w:rsidR="0012510D" w:rsidRPr="0012510D" w:rsidRDefault="0012510D" w:rsidP="0012510D">
            <w:pPr>
              <w:jc w:val="center"/>
              <w:rPr>
                <w:rFonts w:ascii="Arial" w:hAnsi="Arial" w:cs="Arial"/>
                <w:sz w:val="24"/>
                <w:szCs w:val="24"/>
              </w:rPr>
            </w:pPr>
          </w:p>
          <w:p w:rsidR="0012510D" w:rsidRPr="0012510D" w:rsidRDefault="0012510D" w:rsidP="0012510D">
            <w:pPr>
              <w:jc w:val="center"/>
              <w:rPr>
                <w:rFonts w:ascii="Arial" w:hAnsi="Arial" w:cs="Arial"/>
                <w:sz w:val="24"/>
                <w:szCs w:val="24"/>
              </w:rPr>
            </w:pPr>
            <w:r w:rsidRPr="0012510D">
              <w:rPr>
                <w:rFonts w:ascii="Arial" w:hAnsi="Arial" w:cs="Arial"/>
                <w:sz w:val="24"/>
                <w:szCs w:val="24"/>
              </w:rPr>
              <w:t>Е.Е. Безруковой</w:t>
            </w:r>
          </w:p>
          <w:p w:rsidR="0012510D" w:rsidRPr="0012510D" w:rsidRDefault="0012510D" w:rsidP="0012510D">
            <w:pPr>
              <w:jc w:val="center"/>
              <w:rPr>
                <w:rFonts w:ascii="Arial" w:hAnsi="Arial" w:cs="Arial"/>
                <w:sz w:val="24"/>
                <w:szCs w:val="24"/>
              </w:rPr>
            </w:pPr>
          </w:p>
          <w:p w:rsidR="0012510D" w:rsidRPr="0012510D" w:rsidRDefault="0012510D" w:rsidP="0012510D">
            <w:pPr>
              <w:jc w:val="center"/>
              <w:rPr>
                <w:rFonts w:ascii="Arial" w:hAnsi="Arial" w:cs="Arial"/>
                <w:sz w:val="24"/>
                <w:szCs w:val="24"/>
              </w:rPr>
            </w:pPr>
            <w:r w:rsidRPr="0012510D">
              <w:rPr>
                <w:rFonts w:ascii="Arial" w:hAnsi="Arial" w:cs="Arial"/>
                <w:sz w:val="24"/>
                <w:szCs w:val="24"/>
              </w:rPr>
              <w:t>Копия: прокуратура Алтайского края</w:t>
            </w:r>
          </w:p>
          <w:p w:rsidR="0012510D" w:rsidRPr="0012510D" w:rsidRDefault="0012510D" w:rsidP="0012510D">
            <w:pPr>
              <w:jc w:val="center"/>
              <w:rPr>
                <w:rFonts w:ascii="Arial" w:hAnsi="Arial" w:cs="Arial"/>
                <w:sz w:val="24"/>
                <w:szCs w:val="24"/>
              </w:rPr>
            </w:pPr>
          </w:p>
          <w:p w:rsidR="0012510D" w:rsidRPr="0012510D" w:rsidRDefault="0012510D" w:rsidP="0012510D">
            <w:pPr>
              <w:jc w:val="center"/>
              <w:rPr>
                <w:rFonts w:ascii="Arial" w:hAnsi="Arial" w:cs="Arial"/>
                <w:sz w:val="24"/>
                <w:szCs w:val="24"/>
              </w:rPr>
            </w:pPr>
          </w:p>
        </w:tc>
      </w:tr>
      <w:tr w:rsidR="0012510D" w:rsidRPr="0012510D" w:rsidTr="00C4570C">
        <w:trPr>
          <w:cantSplit/>
          <w:trHeight w:hRule="exact" w:val="460"/>
        </w:trPr>
        <w:tc>
          <w:tcPr>
            <w:tcW w:w="2127" w:type="dxa"/>
            <w:gridSpan w:val="2"/>
            <w:vAlign w:val="bottom"/>
          </w:tcPr>
          <w:p w:rsidR="0012510D" w:rsidRPr="0012510D" w:rsidRDefault="0012510D" w:rsidP="0012510D">
            <w:pPr>
              <w:jc w:val="center"/>
              <w:rPr>
                <w:rFonts w:ascii="Arial" w:hAnsi="Arial" w:cs="Arial"/>
                <w:sz w:val="24"/>
                <w:szCs w:val="24"/>
              </w:rPr>
            </w:pPr>
            <w:r w:rsidRPr="0012510D">
              <w:rPr>
                <w:rFonts w:ascii="Arial" w:hAnsi="Arial" w:cs="Arial"/>
                <w:sz w:val="24"/>
                <w:szCs w:val="24"/>
              </w:rPr>
              <w:t>13.07.2016</w:t>
            </w:r>
          </w:p>
        </w:tc>
        <w:tc>
          <w:tcPr>
            <w:tcW w:w="283" w:type="dxa"/>
            <w:vAlign w:val="bottom"/>
          </w:tcPr>
          <w:p w:rsidR="0012510D" w:rsidRPr="0012510D" w:rsidRDefault="0012510D" w:rsidP="0012510D">
            <w:pPr>
              <w:jc w:val="center"/>
              <w:rPr>
                <w:rFonts w:ascii="Arial" w:hAnsi="Arial" w:cs="Arial"/>
                <w:sz w:val="24"/>
                <w:szCs w:val="24"/>
              </w:rPr>
            </w:pPr>
            <w:r w:rsidRPr="0012510D">
              <w:rPr>
                <w:rFonts w:ascii="Arial" w:hAnsi="Arial" w:cs="Arial"/>
                <w:sz w:val="24"/>
                <w:szCs w:val="24"/>
              </w:rPr>
              <w:t>№</w:t>
            </w:r>
          </w:p>
        </w:tc>
        <w:tc>
          <w:tcPr>
            <w:tcW w:w="1843" w:type="dxa"/>
            <w:vAlign w:val="bottom"/>
          </w:tcPr>
          <w:p w:rsidR="0012510D" w:rsidRPr="0012510D" w:rsidRDefault="0012510D" w:rsidP="0012510D">
            <w:pPr>
              <w:jc w:val="center"/>
              <w:rPr>
                <w:rFonts w:ascii="Arial" w:hAnsi="Arial" w:cs="Arial"/>
                <w:sz w:val="24"/>
                <w:szCs w:val="24"/>
              </w:rPr>
            </w:pPr>
            <w:r w:rsidRPr="0012510D">
              <w:rPr>
                <w:rFonts w:ascii="Arial" w:hAnsi="Arial" w:cs="Arial"/>
                <w:sz w:val="24"/>
                <w:szCs w:val="24"/>
              </w:rPr>
              <w:t>22/02-06</w:t>
            </w:r>
            <w:r>
              <w:rPr>
                <w:rFonts w:ascii="Arial" w:hAnsi="Arial" w:cs="Arial"/>
                <w:sz w:val="24"/>
                <w:szCs w:val="24"/>
              </w:rPr>
              <w:t>/4013</w:t>
            </w:r>
          </w:p>
        </w:tc>
        <w:tc>
          <w:tcPr>
            <w:tcW w:w="1559" w:type="dxa"/>
            <w:vMerge/>
          </w:tcPr>
          <w:p w:rsidR="0012510D" w:rsidRPr="0012510D" w:rsidRDefault="0012510D" w:rsidP="0012510D">
            <w:pPr>
              <w:jc w:val="center"/>
              <w:rPr>
                <w:rFonts w:ascii="Arial" w:hAnsi="Arial" w:cs="Arial"/>
                <w:sz w:val="24"/>
                <w:szCs w:val="24"/>
              </w:rPr>
            </w:pPr>
          </w:p>
        </w:tc>
        <w:tc>
          <w:tcPr>
            <w:tcW w:w="4440" w:type="dxa"/>
            <w:vMerge/>
          </w:tcPr>
          <w:p w:rsidR="0012510D" w:rsidRPr="0012510D" w:rsidRDefault="0012510D" w:rsidP="0012510D">
            <w:pPr>
              <w:jc w:val="center"/>
              <w:rPr>
                <w:rFonts w:ascii="Arial" w:hAnsi="Arial" w:cs="Arial"/>
                <w:sz w:val="24"/>
                <w:szCs w:val="24"/>
              </w:rPr>
            </w:pPr>
          </w:p>
        </w:tc>
      </w:tr>
      <w:tr w:rsidR="0012510D" w:rsidRPr="0012510D" w:rsidTr="00C4570C">
        <w:trPr>
          <w:cantSplit/>
          <w:trHeight w:val="433"/>
        </w:trPr>
        <w:tc>
          <w:tcPr>
            <w:tcW w:w="567" w:type="dxa"/>
            <w:vAlign w:val="bottom"/>
          </w:tcPr>
          <w:p w:rsidR="0012510D" w:rsidRPr="0012510D" w:rsidRDefault="0012510D" w:rsidP="0012510D">
            <w:pPr>
              <w:jc w:val="center"/>
              <w:rPr>
                <w:rFonts w:ascii="Arial" w:hAnsi="Arial" w:cs="Arial"/>
                <w:sz w:val="24"/>
                <w:szCs w:val="24"/>
              </w:rPr>
            </w:pPr>
          </w:p>
        </w:tc>
        <w:tc>
          <w:tcPr>
            <w:tcW w:w="1560" w:type="dxa"/>
            <w:vAlign w:val="bottom"/>
          </w:tcPr>
          <w:p w:rsidR="0012510D" w:rsidRPr="0012510D" w:rsidRDefault="0012510D" w:rsidP="0012510D">
            <w:pPr>
              <w:jc w:val="center"/>
              <w:rPr>
                <w:rFonts w:ascii="Arial" w:hAnsi="Arial" w:cs="Arial"/>
                <w:sz w:val="24"/>
                <w:szCs w:val="24"/>
              </w:rPr>
            </w:pPr>
          </w:p>
        </w:tc>
        <w:tc>
          <w:tcPr>
            <w:tcW w:w="283" w:type="dxa"/>
            <w:vAlign w:val="bottom"/>
          </w:tcPr>
          <w:p w:rsidR="0012510D" w:rsidRPr="0012510D" w:rsidRDefault="0012510D" w:rsidP="0012510D">
            <w:pPr>
              <w:jc w:val="center"/>
              <w:rPr>
                <w:rFonts w:ascii="Arial" w:hAnsi="Arial" w:cs="Arial"/>
                <w:sz w:val="24"/>
                <w:szCs w:val="24"/>
              </w:rPr>
            </w:pPr>
          </w:p>
        </w:tc>
        <w:tc>
          <w:tcPr>
            <w:tcW w:w="1843" w:type="dxa"/>
            <w:vAlign w:val="bottom"/>
          </w:tcPr>
          <w:p w:rsidR="0012510D" w:rsidRPr="0012510D" w:rsidRDefault="0012510D" w:rsidP="0012510D">
            <w:pPr>
              <w:jc w:val="center"/>
              <w:rPr>
                <w:rFonts w:ascii="Arial" w:hAnsi="Arial" w:cs="Arial"/>
                <w:sz w:val="24"/>
                <w:szCs w:val="24"/>
              </w:rPr>
            </w:pPr>
          </w:p>
        </w:tc>
        <w:tc>
          <w:tcPr>
            <w:tcW w:w="1559" w:type="dxa"/>
            <w:vMerge/>
          </w:tcPr>
          <w:p w:rsidR="0012510D" w:rsidRPr="0012510D" w:rsidRDefault="0012510D" w:rsidP="0012510D">
            <w:pPr>
              <w:jc w:val="center"/>
              <w:rPr>
                <w:rFonts w:ascii="Arial" w:hAnsi="Arial" w:cs="Arial"/>
                <w:sz w:val="24"/>
                <w:szCs w:val="24"/>
              </w:rPr>
            </w:pPr>
          </w:p>
        </w:tc>
        <w:tc>
          <w:tcPr>
            <w:tcW w:w="4440" w:type="dxa"/>
            <w:vMerge/>
          </w:tcPr>
          <w:p w:rsidR="0012510D" w:rsidRPr="0012510D" w:rsidRDefault="0012510D" w:rsidP="0012510D">
            <w:pPr>
              <w:jc w:val="center"/>
              <w:rPr>
                <w:rFonts w:ascii="Arial" w:hAnsi="Arial" w:cs="Arial"/>
                <w:sz w:val="24"/>
                <w:szCs w:val="24"/>
              </w:rPr>
            </w:pPr>
          </w:p>
        </w:tc>
      </w:tr>
      <w:tr w:rsidR="0012510D" w:rsidRPr="0012510D" w:rsidTr="00C4570C">
        <w:trPr>
          <w:cantSplit/>
          <w:trHeight w:val="626"/>
        </w:trPr>
        <w:tc>
          <w:tcPr>
            <w:tcW w:w="4253" w:type="dxa"/>
            <w:gridSpan w:val="4"/>
          </w:tcPr>
          <w:p w:rsidR="0012510D" w:rsidRPr="0012510D" w:rsidRDefault="0012510D" w:rsidP="0012510D">
            <w:pPr>
              <w:jc w:val="center"/>
              <w:rPr>
                <w:rFonts w:ascii="Arial" w:hAnsi="Arial" w:cs="Arial"/>
                <w:sz w:val="24"/>
                <w:szCs w:val="24"/>
              </w:rPr>
            </w:pPr>
          </w:p>
        </w:tc>
        <w:tc>
          <w:tcPr>
            <w:tcW w:w="1559" w:type="dxa"/>
            <w:vMerge/>
            <w:vAlign w:val="center"/>
          </w:tcPr>
          <w:p w:rsidR="0012510D" w:rsidRPr="0012510D" w:rsidRDefault="0012510D" w:rsidP="0012510D">
            <w:pPr>
              <w:jc w:val="center"/>
              <w:rPr>
                <w:rFonts w:ascii="Arial" w:hAnsi="Arial" w:cs="Arial"/>
                <w:sz w:val="24"/>
                <w:szCs w:val="24"/>
              </w:rPr>
            </w:pPr>
          </w:p>
        </w:tc>
        <w:tc>
          <w:tcPr>
            <w:tcW w:w="4440" w:type="dxa"/>
            <w:vMerge/>
          </w:tcPr>
          <w:p w:rsidR="0012510D" w:rsidRPr="0012510D" w:rsidRDefault="0012510D" w:rsidP="0012510D">
            <w:pPr>
              <w:jc w:val="center"/>
              <w:rPr>
                <w:rFonts w:ascii="Arial" w:hAnsi="Arial" w:cs="Arial"/>
                <w:sz w:val="24"/>
                <w:szCs w:val="24"/>
              </w:rPr>
            </w:pPr>
          </w:p>
        </w:tc>
      </w:tr>
    </w:tbl>
    <w:p w:rsidR="0012510D" w:rsidRPr="0012510D" w:rsidRDefault="0012510D" w:rsidP="0012510D">
      <w:pPr>
        <w:jc w:val="center"/>
        <w:rPr>
          <w:rFonts w:ascii="Arial" w:hAnsi="Arial" w:cs="Arial"/>
          <w:sz w:val="24"/>
          <w:szCs w:val="24"/>
        </w:rPr>
      </w:pPr>
      <w:r w:rsidRPr="0012510D">
        <w:rPr>
          <w:rFonts w:ascii="Arial" w:hAnsi="Arial" w:cs="Arial"/>
          <w:sz w:val="24"/>
          <w:szCs w:val="24"/>
        </w:rPr>
        <w:t>ЭКСПЕРТНОЕ ЗАКЛЮЧЕНИЕ</w:t>
      </w:r>
    </w:p>
    <w:p w:rsidR="0012510D" w:rsidRPr="0012510D" w:rsidRDefault="0012510D" w:rsidP="0012510D">
      <w:pPr>
        <w:jc w:val="center"/>
        <w:rPr>
          <w:rFonts w:ascii="Arial" w:hAnsi="Arial" w:cs="Arial"/>
          <w:sz w:val="24"/>
          <w:szCs w:val="24"/>
        </w:rPr>
      </w:pPr>
      <w:r w:rsidRPr="0012510D">
        <w:rPr>
          <w:rFonts w:ascii="Arial" w:hAnsi="Arial" w:cs="Arial"/>
          <w:sz w:val="24"/>
          <w:szCs w:val="24"/>
        </w:rPr>
        <w:t>по результатам проведения правовой экспертизы</w:t>
      </w:r>
    </w:p>
    <w:p w:rsidR="0012510D" w:rsidRPr="0012510D" w:rsidRDefault="0012510D" w:rsidP="0012510D">
      <w:pPr>
        <w:jc w:val="center"/>
        <w:rPr>
          <w:rFonts w:ascii="Arial" w:hAnsi="Arial" w:cs="Arial"/>
          <w:sz w:val="24"/>
          <w:szCs w:val="24"/>
        </w:rPr>
      </w:pPr>
      <w:r w:rsidRPr="0012510D">
        <w:rPr>
          <w:rFonts w:ascii="Arial" w:hAnsi="Arial" w:cs="Arial"/>
          <w:sz w:val="24"/>
          <w:szCs w:val="24"/>
        </w:rPr>
        <w:t>на приказ управления Алтайского края по культуре и архивному делу от 11 мая</w:t>
      </w:r>
      <w:r>
        <w:rPr>
          <w:rFonts w:ascii="Arial" w:hAnsi="Arial" w:cs="Arial"/>
          <w:sz w:val="24"/>
          <w:szCs w:val="24"/>
        </w:rPr>
        <w:t xml:space="preserve"> </w:t>
      </w:r>
      <w:r w:rsidRPr="0012510D">
        <w:rPr>
          <w:rFonts w:ascii="Arial" w:hAnsi="Arial" w:cs="Arial"/>
          <w:sz w:val="24"/>
          <w:szCs w:val="24"/>
        </w:rPr>
        <w:t>2016 года № 156 «Об утверждении положения о порядке подтверждения почетного звания Алтайского края «Заслуженный коллектив самодеятельного художественного творчества Алтайского края»</w:t>
      </w:r>
    </w:p>
    <w:p w:rsidR="0012510D" w:rsidRPr="0012510D" w:rsidRDefault="0012510D" w:rsidP="0012510D">
      <w:pPr>
        <w:ind w:firstLine="709"/>
        <w:jc w:val="both"/>
        <w:rPr>
          <w:rFonts w:ascii="Arial" w:hAnsi="Arial" w:cs="Arial"/>
          <w:sz w:val="24"/>
          <w:szCs w:val="24"/>
        </w:rPr>
      </w:pP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 xml:space="preserve">Управление Министерства юстиции Российской Федерации по Алтайскому краю на основании Положения о Министерстве юстиции Российской Федерации, утвержденного </w:t>
      </w:r>
      <w:hyperlink r:id="rId4" w:tgtFrame="_self" w:history="1">
        <w:r w:rsidRPr="0012510D">
          <w:rPr>
            <w:rStyle w:val="a7"/>
            <w:rFonts w:ascii="Arial" w:hAnsi="Arial" w:cs="Arial"/>
            <w:sz w:val="24"/>
            <w:szCs w:val="24"/>
          </w:rPr>
          <w:t>Указом Президента Российской Федерации от 13 октября 2004 года № 1313</w:t>
        </w:r>
      </w:hyperlink>
      <w:r w:rsidRPr="0012510D">
        <w:rPr>
          <w:rFonts w:ascii="Arial" w:hAnsi="Arial" w:cs="Arial"/>
          <w:sz w:val="24"/>
          <w:szCs w:val="24"/>
        </w:rPr>
        <w:t xml:space="preserve"> «Вопросы Министерства юстиции Российской Федерации», Положения об Управлении Министерства юстиции Российской Федерации по субъекту (субъектам) Российской Федерации, утверждённого </w:t>
      </w:r>
      <w:hyperlink r:id="rId5" w:tgtFrame="_self" w:history="1">
        <w:r w:rsidRPr="0012510D">
          <w:rPr>
            <w:rStyle w:val="a7"/>
            <w:rFonts w:ascii="Arial" w:hAnsi="Arial" w:cs="Arial"/>
            <w:sz w:val="24"/>
            <w:szCs w:val="24"/>
          </w:rPr>
          <w:t>приказом Министерства юстиции Российской Федерации от 3 марта 2014 года № 26</w:t>
        </w:r>
      </w:hyperlink>
      <w:r w:rsidRPr="0012510D">
        <w:rPr>
          <w:rFonts w:ascii="Arial" w:hAnsi="Arial" w:cs="Arial"/>
          <w:sz w:val="24"/>
          <w:szCs w:val="24"/>
        </w:rPr>
        <w:t xml:space="preserve">, провело правовую экспертизу приказа управления Алтайского края по культуре и архивному делу от 11 мая 2016 года № 156 «Об утверждении положения о порядке подтверждения почетного звания Алтайского края «Заслуженный коллектив самодеятельного художественного творчества Алтайского края». </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Поводом для проведения правовой экспертизы указанного нормативного правового акта является его принятие и включение в федеральный регистр нормативных правовых актов субъектов Российской Федерации.</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Форма и текст рассматриваемого приказа соответствуют правилам юридической техники.</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По результатам проведения правовой экспертизы приказа управления Алтайского края по культуре и архивному делу от 11 мая 2016 года № 156 «Об утверждении положения о порядке подтверждения почетного звания Алтайского края «Заслуженный коллектив самодеятельного художественного творчества Алтайского края» несоответствия Конституции Российской Федерации и федеральному законодательству не выявлены.</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Вместе с тем, по результатам проведения правовой экспертизы анализируемого нормативного правового акта выявлено несоответствие краевому законодательству.</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Так, согласно пункту 2.5 Положения о порядке подтверждения почетного звания Алтайского края «Заслуженный коллектив самодеятельного художественного творчества Алтайского края» (далее – Положение 1) заслуженные коллективы, не подтвердившие звание в установленные сроки, вправе оформить ходатайство о переносе срока его подтверждения с указанием причины отсрочки, которое направляется на имя председателя комиссии.</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 xml:space="preserve">Тогда как, в соответствии с частью 1 статьи 6 </w:t>
      </w:r>
      <w:hyperlink r:id="rId6" w:tgtFrame="Logical" w:history="1">
        <w:r w:rsidRPr="0012510D">
          <w:rPr>
            <w:rStyle w:val="a7"/>
            <w:rFonts w:ascii="Arial" w:hAnsi="Arial" w:cs="Arial"/>
            <w:sz w:val="24"/>
            <w:szCs w:val="24"/>
          </w:rPr>
          <w:t>закона Алтайского края от 14 июня 2007 года № 58-ЗС</w:t>
        </w:r>
      </w:hyperlink>
      <w:r w:rsidRPr="0012510D">
        <w:rPr>
          <w:rFonts w:ascii="Arial" w:hAnsi="Arial" w:cs="Arial"/>
          <w:sz w:val="24"/>
          <w:szCs w:val="24"/>
        </w:rPr>
        <w:t xml:space="preserve"> «О почетном звании Алтайского края «Заслуженный коллектив самодеятельного художественного творчества Алтайского края» коллектив, удостоенный почетного звания «Заслуженный коллектив Алтайского края», один раз в пять лет подтверждает указанное звание в порядке, определяемом уполномоченным органом исполнительной власти Алтайского края в сфере культуры. При этом, указанным законом края не предусмотрен перенос срока подтверждения звания.</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 xml:space="preserve">Кроме этого, по результатам проведенной антикоррупционной экспертизы в соответствии с частью 3 статьи 3 </w:t>
      </w:r>
      <w:hyperlink r:id="rId7" w:tgtFrame="Logical" w:history="1">
        <w:r w:rsidRPr="0012510D">
          <w:rPr>
            <w:rStyle w:val="a7"/>
            <w:rFonts w:ascii="Arial" w:hAnsi="Arial" w:cs="Arial"/>
            <w:sz w:val="24"/>
            <w:szCs w:val="24"/>
          </w:rPr>
          <w:t>Федерального закона от 17 июля 2009 года № 172-ФЗ</w:t>
        </w:r>
      </w:hyperlink>
      <w:r w:rsidRPr="0012510D">
        <w:rPr>
          <w:rFonts w:ascii="Arial" w:hAnsi="Arial" w:cs="Arial"/>
          <w:sz w:val="24"/>
          <w:szCs w:val="24"/>
        </w:rPr>
        <w:t xml:space="preserve"> «Об антикоррупционной экспертизе нормативных правовых актов и проектов нормативных правовых актов», статьёй 6 </w:t>
      </w:r>
      <w:hyperlink r:id="rId8" w:tgtFrame="Logical" w:history="1">
        <w:r w:rsidRPr="0012510D">
          <w:rPr>
            <w:rStyle w:val="a7"/>
            <w:rFonts w:ascii="Arial" w:hAnsi="Arial" w:cs="Arial"/>
            <w:sz w:val="24"/>
            <w:szCs w:val="24"/>
          </w:rPr>
          <w:t>Федерального закона от 25 декабря 2008 года № 273-ФЗ</w:t>
        </w:r>
      </w:hyperlink>
      <w:r w:rsidRPr="0012510D">
        <w:rPr>
          <w:rFonts w:ascii="Arial" w:hAnsi="Arial" w:cs="Arial"/>
          <w:sz w:val="24"/>
          <w:szCs w:val="24"/>
        </w:rPr>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утверждённых </w:t>
      </w:r>
      <w:hyperlink r:id="rId9" w:tgtFrame="Logical" w:history="1">
        <w:hyperlink r:id="rId10" w:tgtFrame="Logical" w:history="1">
          <w:r w:rsidRPr="0012510D">
            <w:rPr>
              <w:rStyle w:val="a7"/>
              <w:rFonts w:ascii="Arial" w:hAnsi="Arial" w:cs="Arial"/>
              <w:sz w:val="24"/>
              <w:szCs w:val="24"/>
            </w:rPr>
            <w:t>постановлением Правительства Российской Федерации от 26 февраля 2010 года № 96</w:t>
          </w:r>
        </w:hyperlink>
      </w:hyperlink>
      <w:r w:rsidRPr="0012510D">
        <w:rPr>
          <w:rFonts w:ascii="Arial" w:hAnsi="Arial" w:cs="Arial"/>
          <w:sz w:val="24"/>
          <w:szCs w:val="24"/>
        </w:rPr>
        <w:t>, выявлены коррупциогенные факторы.</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Так, согласно пунктам 2.3, 2.4 Положения 1, пунктам 2, 5, 14 Положения о комиссии по подтверждению почетного звания Алтайского края «Заслуженный коллектив самодеятельного художественного творчества Алтайского края» (далее – Положение 2) подтверждение звания проводится с участием членов комиссии по подтверждению почетного звания Алтайского края «Заслуженный коллектив самодеятельного художественного творчества Алтайского края» (далее – комиссия), созданной при управлении Алтайского края по культуре и архивному делу. Подтверждения звания производится на основании решения комиссии приказом управления Алтайского края по культуре и архивному делу. Комиссия формируется с целью определения уровня творческих достижений заслуженных коллективов, претендующих на подтверждение почетного звания Алтайского края «Заслуженный коллектив самодеятельного художественного творчества Алтайского края», и их соответствия званию.  Комиссия принимает участие в краевых культурно-массовых мероприятиях, в ходе которых заслуженные коллективы подтверждают звание. Комиссия имеет право устанавливать испытательный срок продолжительностью не более одного года заслуженным коллективам, которые не в полной мере соответствуют высокому художественному уровню, предъявляемому к коллективу для подтверждения звания.</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 xml:space="preserve">Данные нормы носят неопределенный характер, поскольку указанными Положениями не определено, на основании чего комиссия принимает решение о подтверждении звания, какими критериями руководствуется при принятии такого решения, требуется ли от коллектива, имеющего звание, для его подтверждения, представление каких-либо документов, принимается ли решение о подтверждении звания на заседании комиссии или в ходе участия комиссии в краевых культурно-массовых мероприятиях, исходя из каких критериев комиссия устанавливает коллективу испытательный срок, что является коррупциогенным фактором (широта дискреционных полномочий), устанавливающим для правоприменителя необоснованно широкие пределы усмотрения или возможности необоснованного применения исключений из общих правил (подпункт «а» пункта 3 Методики проведения антикоррупционой экспертизы нормативных правовых актов и проектов нормативных правовых актов, утвержденной </w:t>
      </w:r>
      <w:hyperlink r:id="rId11" w:tgtFrame="Logical" w:history="1">
        <w:r w:rsidRPr="0012510D">
          <w:rPr>
            <w:rStyle w:val="a7"/>
            <w:rFonts w:ascii="Arial" w:hAnsi="Arial" w:cs="Arial"/>
            <w:sz w:val="24"/>
            <w:szCs w:val="24"/>
          </w:rPr>
          <w:t>постановлением Правительства Российской Федерации от 26 февраля 2010 года № 96</w:t>
        </w:r>
      </w:hyperlink>
      <w:r w:rsidRPr="0012510D">
        <w:rPr>
          <w:rFonts w:ascii="Arial" w:hAnsi="Arial" w:cs="Arial"/>
          <w:sz w:val="24"/>
          <w:szCs w:val="24"/>
        </w:rPr>
        <w:t xml:space="preserve"> «Об антикоррупционной экспертизе нормативных правовых актов и проектов нормативных правовых актов»).</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Кроме того, согласно пунктам 14, 15 Положения 2 комиссия имеет право устанавливать испытательный срок продолжительностью не более одного года заслуженным коллективам, которые не в полной мере соответствуют высокому художественному уровню, предъявляемому к коллективу для подтверждения звания. В случае неподтверждения заслуженным коллективом звания комиссия имеет право ходатайствовать перед комиссией по присвоению почетного звания Алтайского края «Заслуженный коллектив самодеятельного художественного творчества Алтайского края» о лишении его звания правовым актом Губернатора Алтайского края.</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 xml:space="preserve"> Указанные положения </w:t>
      </w:r>
      <w:r w:rsidRPr="0012510D">
        <w:rPr>
          <w:rFonts w:ascii="Arial" w:eastAsia="Calibri" w:hAnsi="Arial" w:cs="Arial"/>
          <w:sz w:val="24"/>
          <w:szCs w:val="24"/>
        </w:rPr>
        <w:t xml:space="preserve">содержат </w:t>
      </w:r>
      <w:r w:rsidRPr="0012510D">
        <w:rPr>
          <w:rFonts w:ascii="Arial" w:hAnsi="Arial" w:cs="Arial"/>
          <w:sz w:val="24"/>
          <w:szCs w:val="24"/>
        </w:rPr>
        <w:t xml:space="preserve">коррупциогенный фактор - </w:t>
      </w:r>
      <w:r w:rsidRPr="0012510D">
        <w:rPr>
          <w:rFonts w:ascii="Arial" w:eastAsia="Calibri" w:hAnsi="Arial" w:cs="Arial"/>
          <w:sz w:val="24"/>
          <w:szCs w:val="24"/>
        </w:rPr>
        <w:t xml:space="preserve">определение компетенции по формуле «вправе» (диспозитивное установление возможности совершения органами государственной власти или органами местного самоуправления (их должностными лицами) действий в отношении граждан и организаций), предусмотренный </w:t>
      </w:r>
      <w:r w:rsidRPr="0012510D">
        <w:rPr>
          <w:rFonts w:ascii="Arial" w:hAnsi="Arial" w:cs="Arial"/>
          <w:sz w:val="24"/>
          <w:szCs w:val="24"/>
        </w:rPr>
        <w:t>подпунктом «б» пункта 3 Методики проведения антикоррупционной экспертизы нормативных правовых актов и проектов нормативных правовых актов, утвержденной вышеназванным постановлением Правительства Российской Федерации.</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 xml:space="preserve">Помимо этого, пункт 14 Положения 2 </w:t>
      </w:r>
      <w:r w:rsidRPr="0012510D">
        <w:rPr>
          <w:rFonts w:ascii="Arial" w:eastAsia="Calibri" w:hAnsi="Arial" w:cs="Arial"/>
          <w:sz w:val="24"/>
          <w:szCs w:val="24"/>
        </w:rPr>
        <w:t xml:space="preserve">содержит </w:t>
      </w:r>
      <w:r w:rsidRPr="0012510D">
        <w:rPr>
          <w:rFonts w:ascii="Arial" w:hAnsi="Arial" w:cs="Arial"/>
          <w:sz w:val="24"/>
          <w:szCs w:val="24"/>
        </w:rPr>
        <w:t>юридико-лингвистическую неопределенность, поскольку формулировка «не в полной мере соответствуют высокому художественному уровню, предъявляемому к коллективу для подтверждения звания» носит оценочный характер, что также является коррупциогенным фактором (подпункт «в» пункта 4 Методики проведения антикоррупционной экспертизы нормативных правовых актов и проектов нормативных правовых актов, утвержденной указанным постановлением Правительства Российской Федерации).</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 xml:space="preserve">В целях  устранения выявленных  коррупциогенных  факторов  предлагаем определить перечень документов, которые требуются от коллектива, имеющего звание, для его подтверждения, критерии принятия комиссией решения о подтверждении звания в соответствии с частью 1 статьи 6 закона Алтайского края «О почетном звании Алтайского края «Заслуженный коллектив самодеятельного художественного творчества Алтайского края», закрепить положение о принятии решения о подтверждении звания на заседании комиссии, исключить положения пунктов 5, 14 Положения 2, в пункте 15 Положения 2 </w:t>
      </w:r>
      <w:r w:rsidRPr="0012510D">
        <w:rPr>
          <w:rFonts w:ascii="Arial" w:eastAsia="Calibri" w:hAnsi="Arial" w:cs="Arial"/>
          <w:sz w:val="24"/>
          <w:szCs w:val="24"/>
        </w:rPr>
        <w:t>исключить формулировку «имеет право»</w:t>
      </w:r>
      <w:r w:rsidRPr="0012510D">
        <w:rPr>
          <w:rFonts w:ascii="Arial" w:hAnsi="Arial" w:cs="Arial"/>
          <w:sz w:val="24"/>
          <w:szCs w:val="24"/>
        </w:rPr>
        <w:t>.</w:t>
      </w:r>
    </w:p>
    <w:p w:rsidR="0012510D" w:rsidRPr="0012510D" w:rsidRDefault="0012510D" w:rsidP="0012510D">
      <w:pPr>
        <w:ind w:firstLine="709"/>
        <w:jc w:val="both"/>
        <w:rPr>
          <w:rFonts w:ascii="Arial" w:hAnsi="Arial" w:cs="Arial"/>
          <w:sz w:val="24"/>
          <w:szCs w:val="24"/>
        </w:rPr>
      </w:pPr>
      <w:r w:rsidRPr="0012510D">
        <w:rPr>
          <w:rFonts w:ascii="Arial" w:hAnsi="Arial" w:cs="Arial"/>
          <w:sz w:val="24"/>
          <w:szCs w:val="24"/>
        </w:rPr>
        <w:t>На основании изложенного, предлагаем привести приказ управления Алтайского края по культуре и архивному делу от 11 мая 2016 года № 156 «Об утверждении положения о порядке подтверждения почетного звания Алтайского края «Заслуженный коллектив самодеятельного художественного творчества Алтайского края» в соответствие с краевым законодательством, а также устранить выявленные коррупциогенные факторы. Просим сообщить о результатах рассмотрения настоящего экспертного заключения.</w:t>
      </w:r>
    </w:p>
    <w:p w:rsidR="0012510D" w:rsidRPr="0012510D" w:rsidRDefault="0012510D" w:rsidP="0012510D">
      <w:pPr>
        <w:ind w:firstLine="709"/>
        <w:jc w:val="both"/>
        <w:rPr>
          <w:rFonts w:ascii="Arial" w:hAnsi="Arial" w:cs="Arial"/>
          <w:sz w:val="24"/>
          <w:szCs w:val="24"/>
        </w:rPr>
      </w:pPr>
    </w:p>
    <w:p w:rsidR="0012510D" w:rsidRPr="0012510D" w:rsidRDefault="0012510D" w:rsidP="0012510D">
      <w:pPr>
        <w:jc w:val="both"/>
        <w:rPr>
          <w:rFonts w:ascii="Arial" w:hAnsi="Arial" w:cs="Arial"/>
          <w:sz w:val="24"/>
          <w:szCs w:val="24"/>
        </w:rPr>
      </w:pPr>
      <w:r w:rsidRPr="0012510D">
        <w:rPr>
          <w:rFonts w:ascii="Arial" w:hAnsi="Arial" w:cs="Arial"/>
          <w:sz w:val="24"/>
          <w:szCs w:val="24"/>
        </w:rPr>
        <w:t>Начальник Управления                                                                                      А.В. Кулик</w:t>
      </w:r>
    </w:p>
    <w:p w:rsidR="0012510D" w:rsidRPr="0012510D" w:rsidRDefault="0012510D" w:rsidP="0012510D">
      <w:pPr>
        <w:ind w:firstLine="709"/>
        <w:jc w:val="both"/>
        <w:rPr>
          <w:rFonts w:ascii="Arial" w:hAnsi="Arial" w:cs="Arial"/>
          <w:sz w:val="24"/>
          <w:szCs w:val="24"/>
        </w:rPr>
      </w:pPr>
    </w:p>
    <w:p w:rsidR="0012510D" w:rsidRPr="0012510D" w:rsidRDefault="0012510D" w:rsidP="0012510D">
      <w:pPr>
        <w:jc w:val="both"/>
        <w:rPr>
          <w:rFonts w:ascii="Arial" w:hAnsi="Arial" w:cs="Arial"/>
          <w:sz w:val="24"/>
          <w:szCs w:val="24"/>
        </w:rPr>
      </w:pPr>
      <w:r>
        <w:rPr>
          <w:rFonts w:ascii="Arial" w:hAnsi="Arial" w:cs="Arial"/>
          <w:sz w:val="24"/>
          <w:szCs w:val="24"/>
        </w:rPr>
        <w:t xml:space="preserve">Исп. </w:t>
      </w:r>
      <w:bookmarkStart w:id="0" w:name="_GoBack"/>
      <w:bookmarkEnd w:id="0"/>
      <w:r w:rsidRPr="0012510D">
        <w:rPr>
          <w:rFonts w:ascii="Arial" w:hAnsi="Arial" w:cs="Arial"/>
          <w:sz w:val="24"/>
          <w:szCs w:val="24"/>
        </w:rPr>
        <w:t xml:space="preserve">А.А. Попова </w:t>
      </w:r>
    </w:p>
    <w:sectPr w:rsidR="0012510D" w:rsidRPr="0012510D" w:rsidSect="0048717F">
      <w:pgSz w:w="11906" w:h="16838"/>
      <w:pgMar w:top="1134" w:right="1335" w:bottom="1134" w:left="13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oNotTrackMoves/>
  <w:defaultTabStop w:val="708"/>
  <w:drawingGridHorizontalSpacing w:val="11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56CC"/>
    <w:rsid w:val="0012510D"/>
    <w:rsid w:val="0048717F"/>
    <w:rsid w:val="007C1AFA"/>
    <w:rsid w:val="00BC56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2510D"/>
    <w:pPr>
      <w:widowControl w:val="0"/>
      <w:autoSpaceDE w:val="0"/>
      <w:autoSpaceDN w:val="0"/>
      <w:adjustRightInd w:val="0"/>
    </w:pPr>
    <w:rPr>
      <w:rFonts w:eastAsia="Times New Roman"/>
    </w:rPr>
  </w:style>
  <w:style w:type="paragraph" w:styleId="1">
    <w:name w:val="heading 1"/>
    <w:aliases w:val="!Части документа"/>
    <w:basedOn w:val="a"/>
    <w:next w:val="a"/>
    <w:link w:val="10"/>
    <w:qFormat/>
    <w:rsid w:val="0012510D"/>
    <w:pPr>
      <w:widowControl/>
      <w:autoSpaceDE/>
      <w:autoSpaceDN/>
      <w:adjustRightInd/>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12510D"/>
    <w:pPr>
      <w:widowControl/>
      <w:autoSpaceDE/>
      <w:autoSpaceDN/>
      <w:adjustRightInd/>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12510D"/>
    <w:pPr>
      <w:widowControl/>
      <w:autoSpaceDE/>
      <w:autoSpaceDN/>
      <w:adjustRightInd/>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12510D"/>
    <w:pPr>
      <w:widowControl/>
      <w:autoSpaceDE/>
      <w:autoSpaceDN/>
      <w:adjustRightInd/>
      <w:ind w:firstLine="567"/>
      <w:jc w:val="both"/>
      <w:outlineLvl w:val="3"/>
    </w:pPr>
    <w:rPr>
      <w:rFonts w:ascii="Arial" w:hAnsi="Arial"/>
      <w:b/>
      <w:bCs/>
      <w:sz w:val="26"/>
      <w:szCs w:val="28"/>
    </w:rPr>
  </w:style>
  <w:style w:type="character" w:default="1" w:styleId="a0">
    <w:name w:val="Default Paragraph Font"/>
    <w:semiHidden/>
    <w:rsid w:val="0012510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12510D"/>
  </w:style>
  <w:style w:type="paragraph" w:styleId="a3">
    <w:name w:val="Plain Text"/>
    <w:basedOn w:val="a"/>
    <w:link w:val="a4"/>
    <w:uiPriority w:val="99"/>
    <w:unhideWhenUsed/>
    <w:rsid w:val="0048717F"/>
    <w:pPr>
      <w:widowControl/>
      <w:autoSpaceDE/>
      <w:autoSpaceDN/>
      <w:adjustRightInd/>
      <w:ind w:firstLine="567"/>
      <w:jc w:val="both"/>
    </w:pPr>
    <w:rPr>
      <w:rFonts w:ascii="Consolas" w:hAnsi="Consolas" w:cs="Consolas"/>
      <w:sz w:val="21"/>
      <w:szCs w:val="21"/>
    </w:rPr>
  </w:style>
  <w:style w:type="character" w:customStyle="1" w:styleId="a4">
    <w:name w:val="Текст Знак"/>
    <w:link w:val="a3"/>
    <w:uiPriority w:val="99"/>
    <w:rsid w:val="0048717F"/>
    <w:rPr>
      <w:rFonts w:ascii="Consolas" w:hAnsi="Consolas" w:cs="Consolas"/>
      <w:sz w:val="21"/>
      <w:szCs w:val="21"/>
      <w:lang w:eastAsia="ru-RU"/>
    </w:rPr>
  </w:style>
  <w:style w:type="character" w:customStyle="1" w:styleId="10">
    <w:name w:val="Заголовок 1 Знак"/>
    <w:basedOn w:val="a0"/>
    <w:link w:val="1"/>
    <w:rsid w:val="0012510D"/>
    <w:rPr>
      <w:rFonts w:ascii="Arial" w:eastAsia="Times New Roman" w:hAnsi="Arial" w:cs="Arial"/>
      <w:b/>
      <w:bCs/>
      <w:kern w:val="32"/>
      <w:sz w:val="32"/>
      <w:szCs w:val="32"/>
    </w:rPr>
  </w:style>
  <w:style w:type="character" w:customStyle="1" w:styleId="20">
    <w:name w:val="Заголовок 2 Знак"/>
    <w:basedOn w:val="a0"/>
    <w:link w:val="2"/>
    <w:rsid w:val="0012510D"/>
    <w:rPr>
      <w:rFonts w:ascii="Arial" w:eastAsia="Times New Roman" w:hAnsi="Arial" w:cs="Arial"/>
      <w:b/>
      <w:bCs/>
      <w:iCs/>
      <w:sz w:val="30"/>
      <w:szCs w:val="28"/>
    </w:rPr>
  </w:style>
  <w:style w:type="character" w:customStyle="1" w:styleId="30">
    <w:name w:val="Заголовок 3 Знак"/>
    <w:basedOn w:val="a0"/>
    <w:link w:val="3"/>
    <w:rsid w:val="0012510D"/>
    <w:rPr>
      <w:rFonts w:ascii="Arial" w:eastAsia="Times New Roman" w:hAnsi="Arial" w:cs="Arial"/>
      <w:b/>
      <w:bCs/>
      <w:sz w:val="28"/>
      <w:szCs w:val="26"/>
    </w:rPr>
  </w:style>
  <w:style w:type="character" w:customStyle="1" w:styleId="40">
    <w:name w:val="Заголовок 4 Знак"/>
    <w:basedOn w:val="a0"/>
    <w:link w:val="4"/>
    <w:rsid w:val="0012510D"/>
    <w:rPr>
      <w:rFonts w:ascii="Arial" w:eastAsia="Times New Roman" w:hAnsi="Arial"/>
      <w:b/>
      <w:bCs/>
      <w:sz w:val="26"/>
      <w:szCs w:val="28"/>
    </w:rPr>
  </w:style>
  <w:style w:type="character" w:styleId="HTML">
    <w:name w:val="HTML Variable"/>
    <w:aliases w:val="!Ссылки в документе"/>
    <w:basedOn w:val="a0"/>
    <w:rsid w:val="0012510D"/>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12510D"/>
    <w:pPr>
      <w:widowControl/>
      <w:autoSpaceDE/>
      <w:autoSpaceDN/>
      <w:adjustRightInd/>
      <w:ind w:firstLine="567"/>
      <w:jc w:val="both"/>
    </w:pPr>
    <w:rPr>
      <w:rFonts w:ascii="Courier" w:hAnsi="Courier"/>
      <w:sz w:val="22"/>
    </w:rPr>
  </w:style>
  <w:style w:type="character" w:customStyle="1" w:styleId="a6">
    <w:name w:val="Текст примечания Знак"/>
    <w:basedOn w:val="a0"/>
    <w:link w:val="a5"/>
    <w:semiHidden/>
    <w:rsid w:val="0012510D"/>
    <w:rPr>
      <w:rFonts w:ascii="Courier" w:eastAsia="Times New Roman" w:hAnsi="Courier"/>
      <w:sz w:val="22"/>
    </w:rPr>
  </w:style>
  <w:style w:type="paragraph" w:customStyle="1" w:styleId="Title">
    <w:name w:val="Title!Название НПА"/>
    <w:basedOn w:val="a"/>
    <w:rsid w:val="0012510D"/>
    <w:pPr>
      <w:widowControl/>
      <w:autoSpaceDE/>
      <w:autoSpaceDN/>
      <w:adjustRightInd/>
      <w:spacing w:before="240" w:after="60"/>
      <w:ind w:firstLine="567"/>
      <w:jc w:val="center"/>
      <w:outlineLvl w:val="0"/>
    </w:pPr>
    <w:rPr>
      <w:rFonts w:ascii="Arial" w:hAnsi="Arial" w:cs="Arial"/>
      <w:b/>
      <w:bCs/>
      <w:kern w:val="28"/>
      <w:sz w:val="32"/>
      <w:szCs w:val="32"/>
    </w:rPr>
  </w:style>
  <w:style w:type="character" w:styleId="a7">
    <w:name w:val="Hyperlink"/>
    <w:basedOn w:val="a0"/>
    <w:rsid w:val="0012510D"/>
    <w:rPr>
      <w:color w:val="0000FF"/>
      <w:u w:val="none"/>
    </w:rPr>
  </w:style>
  <w:style w:type="paragraph" w:customStyle="1" w:styleId="Application">
    <w:name w:val="Application!Приложение"/>
    <w:rsid w:val="0012510D"/>
    <w:pPr>
      <w:spacing w:before="120" w:after="120"/>
      <w:jc w:val="right"/>
    </w:pPr>
    <w:rPr>
      <w:rFonts w:ascii="Arial" w:eastAsia="Times New Roman" w:hAnsi="Arial" w:cs="Arial"/>
      <w:b/>
      <w:bCs/>
      <w:kern w:val="28"/>
      <w:sz w:val="32"/>
      <w:szCs w:val="32"/>
    </w:rPr>
  </w:style>
  <w:style w:type="paragraph" w:customStyle="1" w:styleId="Table">
    <w:name w:val="Table!Таблица"/>
    <w:rsid w:val="0012510D"/>
    <w:rPr>
      <w:rFonts w:ascii="Arial" w:eastAsia="Times New Roman" w:hAnsi="Arial" w:cs="Arial"/>
      <w:bCs/>
      <w:kern w:val="28"/>
      <w:sz w:val="24"/>
      <w:szCs w:val="32"/>
    </w:rPr>
  </w:style>
  <w:style w:type="paragraph" w:customStyle="1" w:styleId="Table0">
    <w:name w:val="Table!"/>
    <w:next w:val="Table"/>
    <w:rsid w:val="0012510D"/>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12510D"/>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12510D"/>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tent/act/9aa48369-618a-4bb4-b4b8-ae15f2b7ebf6.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ontent/act/91e7be06-9a84-4cff-931d-1df8bc2444aa.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tent/act/3a1ada25-0e4a-425a-9783-b6fdbe37ed20.doc" TargetMode="External"/><Relationship Id="rId11" Type="http://schemas.openxmlformats.org/officeDocument/2006/relationships/hyperlink" Target="/content/act/07120b89-d89e-494f-8db9-61ba2013cc22.html" TargetMode="External"/><Relationship Id="rId5" Type="http://schemas.openxmlformats.org/officeDocument/2006/relationships/hyperlink" Target="/content/act/cc31c820-4439-4e4b-9a2c-ff495cd5e9e6.html" TargetMode="External"/><Relationship Id="rId10" Type="http://schemas.openxmlformats.org/officeDocument/2006/relationships/hyperlink" Target="/content/act/07120b89-d89e-494f-8db9-61ba2013cc22.html" TargetMode="External"/><Relationship Id="rId4" Type="http://schemas.openxmlformats.org/officeDocument/2006/relationships/hyperlink" Target="/content/act/a8ca6f19-944a-442f-afbb-7b6cab4e1e09.html" TargetMode="External"/><Relationship Id="rId9" Type="http://schemas.openxmlformats.org/officeDocument/2006/relationships/hyperlink" Target="/content/act/07120b89-d89e-494f-8db9-61ba2013cc2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5</TotalTime>
  <Pages>1</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2016-07-26T09:55:00Z</dcterms:created>
  <dcterms:modified xsi:type="dcterms:W3CDTF">2016-07-26T10:00:00Z</dcterms:modified>
</cp:coreProperties>
</file>