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B74" w:rsidRDefault="00614B74" w:rsidP="00614B74">
      <w:pPr>
        <w:adjustRightInd w:val="0"/>
        <w:ind w:firstLine="720"/>
        <w:jc w:val="left"/>
        <w:rPr>
          <w:rFonts w:ascii="Times New Roman" w:hAnsi="Times New Roman"/>
          <w:iCs/>
          <w:sz w:val="28"/>
          <w:szCs w:val="28"/>
        </w:rPr>
      </w:pPr>
    </w:p>
    <w:p w:rsidR="00614B74" w:rsidRDefault="00614B74" w:rsidP="00614B74">
      <w:pPr>
        <w:adjustRightInd w:val="0"/>
        <w:ind w:firstLine="720"/>
        <w:jc w:val="left"/>
        <w:rPr>
          <w:rFonts w:ascii="Times New Roman" w:hAnsi="Times New Roman"/>
          <w:iCs/>
          <w:sz w:val="28"/>
          <w:szCs w:val="28"/>
        </w:rPr>
      </w:pPr>
    </w:p>
    <w:p w:rsidR="00614B74" w:rsidRDefault="00614B74" w:rsidP="00614B74">
      <w:pPr>
        <w:spacing w:line="360" w:lineRule="auto"/>
        <w:ind w:firstLine="0"/>
        <w:jc w:val="center"/>
        <w:rPr>
          <w:rFonts w:ascii="Times New Roman" w:hAnsi="Times New Roman"/>
          <w:sz w:val="28"/>
          <w:szCs w:val="28"/>
        </w:rPr>
      </w:pPr>
    </w:p>
    <w:p w:rsidR="00614B74" w:rsidRDefault="00614B74" w:rsidP="00614B74">
      <w:pPr>
        <w:spacing w:line="360" w:lineRule="auto"/>
        <w:ind w:firstLine="0"/>
        <w:jc w:val="center"/>
        <w:rPr>
          <w:rFonts w:ascii="Times New Roman" w:hAnsi="Times New Roman"/>
          <w:sz w:val="28"/>
          <w:szCs w:val="28"/>
        </w:rPr>
      </w:pPr>
    </w:p>
    <w:p w:rsidR="00614B74" w:rsidRDefault="00614B74" w:rsidP="00614B74">
      <w:pPr>
        <w:spacing w:line="360" w:lineRule="auto"/>
        <w:ind w:firstLine="0"/>
        <w:jc w:val="left"/>
        <w:rPr>
          <w:rFonts w:ascii="Times New Roman" w:hAnsi="Times New Roman"/>
          <w:sz w:val="28"/>
          <w:szCs w:val="28"/>
        </w:rPr>
      </w:pPr>
      <w:r>
        <w:rPr>
          <w:rFonts w:ascii="Times New Roman" w:hAnsi="Times New Roman"/>
          <w:sz w:val="28"/>
          <w:szCs w:val="28"/>
        </w:rPr>
        <w:t>18.11.2020 № 2631</w:t>
      </w:r>
      <w:bookmarkStart w:id="0" w:name="_GoBack"/>
      <w:bookmarkEnd w:id="0"/>
    </w:p>
    <w:p w:rsidR="00614B74" w:rsidRDefault="00614B74" w:rsidP="00614B74">
      <w:pPr>
        <w:spacing w:line="360" w:lineRule="auto"/>
        <w:ind w:firstLine="0"/>
        <w:jc w:val="center"/>
        <w:rPr>
          <w:rFonts w:ascii="Times New Roman" w:hAnsi="Times New Roman"/>
          <w:sz w:val="28"/>
          <w:szCs w:val="28"/>
        </w:rPr>
      </w:pPr>
    </w:p>
    <w:p w:rsidR="00614B74" w:rsidRDefault="00614B74" w:rsidP="00614B74">
      <w:pPr>
        <w:spacing w:line="360" w:lineRule="auto"/>
        <w:ind w:firstLine="0"/>
        <w:jc w:val="center"/>
        <w:rPr>
          <w:rFonts w:ascii="Times New Roman" w:hAnsi="Times New Roman"/>
          <w:sz w:val="28"/>
          <w:szCs w:val="28"/>
        </w:rPr>
      </w:pPr>
    </w:p>
    <w:p w:rsidR="00614B74" w:rsidRDefault="00614B74" w:rsidP="00614B74">
      <w:pPr>
        <w:spacing w:line="360" w:lineRule="auto"/>
        <w:ind w:firstLine="0"/>
        <w:jc w:val="center"/>
        <w:rPr>
          <w:rFonts w:ascii="Times New Roman" w:hAnsi="Times New Roman"/>
          <w:sz w:val="28"/>
          <w:szCs w:val="28"/>
        </w:rPr>
      </w:pPr>
    </w:p>
    <w:p w:rsidR="00614B74" w:rsidRDefault="00614B74" w:rsidP="00614B74">
      <w:pPr>
        <w:spacing w:line="360" w:lineRule="auto"/>
        <w:ind w:firstLine="0"/>
        <w:jc w:val="center"/>
        <w:rPr>
          <w:rFonts w:ascii="Times New Roman" w:hAnsi="Times New Roman"/>
          <w:sz w:val="28"/>
          <w:szCs w:val="28"/>
        </w:rPr>
      </w:pPr>
    </w:p>
    <w:p w:rsidR="00614B74" w:rsidRDefault="00614B74" w:rsidP="00614B74">
      <w:pPr>
        <w:spacing w:line="360" w:lineRule="auto"/>
        <w:ind w:firstLine="0"/>
        <w:jc w:val="center"/>
        <w:rPr>
          <w:rFonts w:ascii="Times New Roman" w:hAnsi="Times New Roman"/>
          <w:sz w:val="28"/>
          <w:szCs w:val="28"/>
        </w:rPr>
      </w:pPr>
      <w:r>
        <w:rPr>
          <w:rFonts w:ascii="Times New Roman" w:hAnsi="Times New Roman"/>
          <w:sz w:val="28"/>
          <w:szCs w:val="28"/>
        </w:rPr>
        <w:t xml:space="preserve">  ЭКСПЕРТНОЕ ЗАКЛЮЧЕНИЕ</w:t>
      </w:r>
    </w:p>
    <w:p w:rsidR="00614B74" w:rsidRDefault="00614B74" w:rsidP="00614B74">
      <w:pPr>
        <w:pStyle w:val="ConsPlusNormal"/>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по результатам проведения правовой экспертизы</w:t>
      </w:r>
    </w:p>
    <w:p w:rsidR="00614B74" w:rsidRDefault="00614B74" w:rsidP="00614B74">
      <w:pPr>
        <w:pStyle w:val="ConsPlusNormal"/>
        <w:spacing w:line="360" w:lineRule="auto"/>
        <w:ind w:left="284" w:right="709" w:firstLine="0"/>
        <w:contextualSpacing/>
        <w:jc w:val="both"/>
        <w:rPr>
          <w:rFonts w:ascii="Times New Roman" w:hAnsi="Times New Roman" w:cs="Times New Roman"/>
          <w:iCs/>
          <w:sz w:val="28"/>
          <w:szCs w:val="28"/>
        </w:rPr>
      </w:pPr>
      <w:r>
        <w:rPr>
          <w:rFonts w:ascii="Times New Roman" w:hAnsi="Times New Roman" w:cs="Times New Roman"/>
          <w:sz w:val="28"/>
          <w:szCs w:val="28"/>
        </w:rPr>
        <w:t xml:space="preserve">на постановление Губернатора Московской области </w:t>
      </w:r>
      <w:r>
        <w:rPr>
          <w:rFonts w:ascii="Times New Roman" w:hAnsi="Times New Roman" w:cs="Times New Roman"/>
          <w:iCs/>
          <w:sz w:val="28"/>
          <w:szCs w:val="28"/>
        </w:rPr>
        <w:t xml:space="preserve">от 12.03.2020 </w:t>
      </w:r>
      <w:r>
        <w:rPr>
          <w:rFonts w:ascii="Times New Roman" w:hAnsi="Times New Roman" w:cs="Times New Roman"/>
          <w:iCs/>
          <w:sz w:val="28"/>
          <w:szCs w:val="28"/>
        </w:rPr>
        <w:br/>
        <w:t xml:space="preserve">№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 222-ПГ, от 07.05.2020 № 227-ПГ, от 11.05.2020 №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w:t>
      </w:r>
      <w:r>
        <w:rPr>
          <w:rFonts w:ascii="Times New Roman" w:hAnsi="Times New Roman" w:cs="Times New Roman"/>
          <w:iCs/>
          <w:sz w:val="28"/>
          <w:szCs w:val="28"/>
        </w:rPr>
        <w:lastRenderedPageBreak/>
        <w:t>344-ПГ, от 01.08.2020 № 353-ПГ, от 06.08.2020 № 354-ПГ, от 20.08.2020 № 374-ПГ, от 18.09.2020 № 414-ПГ, от 25.09.2020 № 420-ПГ, от 01.10.2020 № 429-ПГ, от 07.10.2020 № 439-ПГ, от 15.10.2020 № 455-ПГ, от 19.10.2020 № 463-ПГ, от 31.10.2020 № 485-ПГ)</w:t>
      </w:r>
    </w:p>
    <w:p w:rsidR="00614B74" w:rsidRDefault="00614B74" w:rsidP="00614B74">
      <w:pPr>
        <w:pStyle w:val="ConsPlusNormal"/>
        <w:spacing w:line="360" w:lineRule="auto"/>
        <w:ind w:left="284" w:right="709" w:firstLine="851"/>
        <w:contextualSpacing/>
        <w:jc w:val="both"/>
        <w:rPr>
          <w:rFonts w:ascii="Times New Roman" w:hAnsi="Times New Roman" w:cs="Times New Roman"/>
          <w:iCs/>
          <w:sz w:val="28"/>
          <w:szCs w:val="28"/>
        </w:rPr>
      </w:pPr>
    </w:p>
    <w:p w:rsidR="00614B74" w:rsidRDefault="00614B74" w:rsidP="00614B74">
      <w:pPr>
        <w:pStyle w:val="ConsPlusNormal"/>
        <w:spacing w:line="360" w:lineRule="auto"/>
        <w:ind w:left="284" w:right="709" w:firstLine="851"/>
        <w:contextualSpacing/>
        <w:jc w:val="both"/>
        <w:rPr>
          <w:rFonts w:ascii="Times New Roman" w:hAnsi="Times New Roman" w:cs="Times New Roman"/>
          <w:iCs/>
          <w:sz w:val="28"/>
          <w:szCs w:val="28"/>
        </w:rPr>
      </w:pPr>
      <w:r>
        <w:rPr>
          <w:rFonts w:ascii="Times New Roman" w:hAnsi="Times New Roman" w:cs="Times New Roman"/>
          <w:iCs/>
          <w:sz w:val="28"/>
          <w:szCs w:val="28"/>
        </w:rPr>
        <w:t>Управление Министерства юстиции Российской</w:t>
      </w:r>
      <w:r>
        <w:rPr>
          <w:rFonts w:ascii="Times New Roman" w:hAnsi="Times New Roman" w:cs="Times New Roman"/>
          <w:sz w:val="28"/>
          <w:szCs w:val="28"/>
        </w:rPr>
        <w:t xml:space="preserve"> Федерации по Московской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правовую экспертизу постановления Губернатора Московской области </w:t>
      </w:r>
      <w:r>
        <w:rPr>
          <w:rFonts w:ascii="Times New Roman" w:hAnsi="Times New Roman" w:cs="Times New Roman"/>
          <w:iCs/>
          <w:sz w:val="28"/>
          <w:szCs w:val="28"/>
        </w:rPr>
        <w:t xml:space="preserve">от 12.03.2020 № 108-ПГ </w:t>
      </w:r>
      <w:r>
        <w:rPr>
          <w:rFonts w:ascii="Times New Roman" w:hAnsi="Times New Roman" w:cs="Times New Roman"/>
          <w:iCs/>
          <w:sz w:val="28"/>
          <w:szCs w:val="28"/>
        </w:rPr>
        <w:br/>
        <w:t xml:space="preserve">«О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 222-ПГ, от 07.05.2020 № 227-ПГ, от 11.05.2020 № 229-ПГ, от </w:t>
      </w:r>
      <w:r>
        <w:rPr>
          <w:rFonts w:ascii="Times New Roman" w:hAnsi="Times New Roman" w:cs="Times New Roman"/>
          <w:iCs/>
          <w:sz w:val="28"/>
          <w:szCs w:val="28"/>
        </w:rPr>
        <w:lastRenderedPageBreak/>
        <w:t xml:space="preserve">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344-ПГ, от 01.08.2020 № 353-ПГ, от 06.08.2020 № 354-ПГ, от 20.08.2020 № 374-ПГ, от 18.09.2020 № 414-ПГ, от 25.09.2020 № 420-ПГ, от 01.10.2020 № 429-ПГ, от 07.10.2020 № 439-ПГ, от 15.10.2020 № 455-ПГ, от 19.10.2020 </w:t>
      </w:r>
      <w:r>
        <w:rPr>
          <w:rFonts w:ascii="Times New Roman" w:hAnsi="Times New Roman" w:cs="Times New Roman"/>
          <w:iCs/>
          <w:sz w:val="28"/>
          <w:szCs w:val="28"/>
        </w:rPr>
        <w:br/>
        <w:t>№ 463-ПГ, от 31.10.2020 № 485-ПГ).</w:t>
      </w:r>
    </w:p>
    <w:p w:rsidR="00614B74" w:rsidRDefault="00614B74" w:rsidP="00614B74">
      <w:pPr>
        <w:pStyle w:val="ConsPlusNormal"/>
        <w:spacing w:line="360" w:lineRule="auto"/>
        <w:ind w:left="284" w:right="709" w:firstLine="851"/>
        <w:contextualSpacing/>
        <w:jc w:val="both"/>
        <w:rPr>
          <w:rFonts w:ascii="Times New Roman" w:hAnsi="Times New Roman"/>
          <w:iCs/>
          <w:sz w:val="28"/>
          <w:szCs w:val="28"/>
        </w:rPr>
      </w:pPr>
      <w:r>
        <w:rPr>
          <w:rFonts w:ascii="Times New Roman" w:hAnsi="Times New Roman"/>
          <w:iCs/>
          <w:sz w:val="28"/>
          <w:szCs w:val="28"/>
        </w:rPr>
        <w:t xml:space="preserve">Поводом проведения правовой экспертизы послужило принятие постановление Губернатора Московской области от 31.10.2020 № 485-ПГ «О внесении изменений в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iCs/>
          <w:sz w:val="28"/>
          <w:szCs w:val="28"/>
        </w:rPr>
        <w:t>коронавирусной</w:t>
      </w:r>
      <w:proofErr w:type="spellEnd"/>
      <w:r>
        <w:rPr>
          <w:rFonts w:ascii="Times New Roman" w:hAnsi="Times New Roman"/>
          <w:iCs/>
          <w:sz w:val="28"/>
          <w:szCs w:val="28"/>
        </w:rPr>
        <w:t xml:space="preserve"> инфекции (COVID-2019) на территории Московской области».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Предметом регулирования данного нормативного правового акта являются отношения, связанные с введением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Согласно пункту «ж» части 1 статьи 72 Конституции Российской Федерации координация вопросов здравоохранения находится в совместном ведении Российской Федерации и субъектов Российской Федерации.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Конституции Российской Федерации).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Правовой основой регулирования данной сферы отношений являются:</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Конституция Российской Федерации;</w:t>
      </w:r>
    </w:p>
    <w:p w:rsidR="00614B74" w:rsidRDefault="00614B74" w:rsidP="00614B74">
      <w:pPr>
        <w:autoSpaceDE w:val="0"/>
        <w:autoSpaceDN w:val="0"/>
        <w:adjustRightInd w:val="0"/>
        <w:spacing w:line="360" w:lineRule="auto"/>
        <w:ind w:left="284" w:right="709" w:firstLine="851"/>
        <w:contextualSpacing/>
        <w:rPr>
          <w:rFonts w:ascii="Times New Roman" w:hAnsi="Times New Roman" w:cs="Arial"/>
          <w:iCs/>
          <w:sz w:val="28"/>
          <w:szCs w:val="28"/>
        </w:rPr>
      </w:pPr>
      <w:r>
        <w:rPr>
          <w:rFonts w:ascii="Times New Roman" w:eastAsia="Calibri" w:hAnsi="Times New Roman"/>
          <w:sz w:val="28"/>
          <w:szCs w:val="28"/>
          <w:lang w:eastAsia="en-US"/>
        </w:rPr>
        <w:t xml:space="preserve">-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eastAsia="Calibri" w:hAnsi="Times New Roman"/>
          <w:sz w:val="28"/>
          <w:szCs w:val="28"/>
          <w:lang w:eastAsia="en-US"/>
        </w:rPr>
        <w:t>коронавирусной</w:t>
      </w:r>
      <w:proofErr w:type="spellEnd"/>
      <w:r>
        <w:rPr>
          <w:rFonts w:ascii="Times New Roman" w:eastAsia="Calibri" w:hAnsi="Times New Roman"/>
          <w:sz w:val="28"/>
          <w:szCs w:val="28"/>
          <w:lang w:eastAsia="en-US"/>
        </w:rPr>
        <w:t xml:space="preserve"> инфекции (COVID-19)»;</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21.12.1994 № 68-ФЗ «О защите населения и территорий от чрезвычайных ситуаций природного и техногенного характера»;</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30.03.1999 № 52-ФЗ «О санитарно-эпидемиологическом благополучии населения»;</w:t>
      </w:r>
    </w:p>
    <w:p w:rsidR="00614B74" w:rsidRDefault="00614B74" w:rsidP="00614B74">
      <w:pPr>
        <w:autoSpaceDE w:val="0"/>
        <w:autoSpaceDN w:val="0"/>
        <w:adjustRightInd w:val="0"/>
        <w:spacing w:line="360" w:lineRule="auto"/>
        <w:ind w:left="284" w:right="709" w:firstLine="851"/>
        <w:contextualSpacing/>
        <w:rPr>
          <w:rFonts w:ascii="Times New Roman" w:eastAsia="Calibri" w:hAnsi="Times New Roman"/>
          <w:sz w:val="28"/>
          <w:szCs w:val="28"/>
          <w:lang w:eastAsia="en-US"/>
        </w:rPr>
      </w:pPr>
      <w:r>
        <w:rPr>
          <w:rFonts w:ascii="Times New Roman" w:eastAsia="Calibri" w:hAnsi="Times New Roman"/>
          <w:sz w:val="28"/>
          <w:szCs w:val="28"/>
          <w:lang w:eastAsia="en-US"/>
        </w:rPr>
        <w:t>-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постановление Правительства Российской Федерации от 30.12.2003 № 794 «О единой государственной системе предупреждения и ликвидации чрезвычайных ситуаций»;</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иные нормативные правовые акты.</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 силу положений подпункта 5 пункта 2 статьи 26.3 Федерального закона от 06.10.1999 № 184-ФЗ «Об общих принципах организации законодательных (представительных) и </w:t>
      </w:r>
      <w:r>
        <w:rPr>
          <w:rFonts w:ascii="Times New Roman" w:hAnsi="Times New Roman" w:cs="Arial"/>
          <w:iCs/>
          <w:sz w:val="28"/>
          <w:szCs w:val="28"/>
        </w:rPr>
        <w:lastRenderedPageBreak/>
        <w:t xml:space="preserve">исполнительных органов государственной власти субъектов Российской Федерации»  и подпункта «м» пункта 1 статьи 11 Федерального закона от 21.12.1994 № 68-ФЗ </w:t>
      </w:r>
      <w:r>
        <w:rPr>
          <w:rFonts w:ascii="Times New Roman" w:hAnsi="Times New Roman" w:cs="Arial"/>
          <w:iCs/>
          <w:sz w:val="28"/>
          <w:szCs w:val="28"/>
        </w:rPr>
        <w:br/>
        <w:t>«О защите населения и территорий от чрезвычайных ситуаций природного и техногенного характера»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предупреждения чрезвычайных ситуаций межмуниципального и регионального характера, введение  режима повышенной готовности или чрезвычайной ситуации для соответствующих органов управления и сил единой государственной системы предупреждения и ликвидации чрезвычайных ситуаций; стихийных бедствий, эпидемий и ликвидации их последствий, реализации мероприятий, направленных на спасение жизни и сохранение здоровья людей при чрезвычайных ситуациях.</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Согласно пункту 2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высшим должностным лицам (руководителям высших исполнительных органов государственной власти) субъектов Российской Федерации с учетом положений настоящего Указа, исходя из санитарно-эпидемиологической обстановки и особенностей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 субъекте Российской Федерации, обеспечить разработку и реализацию комплекса ограничительных и иных мероприятий.</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 xml:space="preserve">Таким образом, рассматриваемое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 в пределах компетенции высшего должностного лица субъекта Российской Федерации  - Губернатором Московской области.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Рассматриваемое постановление Губернатора Московской области является достаточным и необходимым нормативным правовым актов регулирующим соответствующую сферу правоотношений.</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В ходе проведения правовой экспертизы установлено следующее.</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Форма и текст нормативного правового акта соответствуют правилам юридической техники.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Нормативный правовой акт субъекта Российской Федерации не содержит противоречий Конституции Российской Федерации и федеральному законодательству.</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 результатам проведенной антикоррупционной экспертизы </w:t>
      </w:r>
      <w:r>
        <w:rPr>
          <w:rFonts w:ascii="Times New Roman" w:hAnsi="Times New Roman" w:cs="Arial"/>
          <w:iCs/>
          <w:sz w:val="28"/>
          <w:szCs w:val="28"/>
        </w:rPr>
        <w:br/>
        <w:t xml:space="preserve">в соответствии с частью 3 статьи 3 Федерального закона от 17.07.2009 </w:t>
      </w:r>
      <w:r>
        <w:rPr>
          <w:rFonts w:ascii="Times New Roman" w:hAnsi="Times New Roman" w:cs="Arial"/>
          <w:iCs/>
          <w:sz w:val="28"/>
          <w:szCs w:val="28"/>
        </w:rPr>
        <w:br/>
        <w:t xml:space="preserve">№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w:t>
      </w:r>
      <w:r>
        <w:rPr>
          <w:rFonts w:ascii="Times New Roman" w:hAnsi="Times New Roman" w:cs="Arial"/>
          <w:iCs/>
          <w:sz w:val="28"/>
          <w:szCs w:val="28"/>
        </w:rPr>
        <w:br/>
        <w:t xml:space="preserve">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w:t>
      </w:r>
      <w:r>
        <w:rPr>
          <w:rFonts w:ascii="Times New Roman" w:hAnsi="Times New Roman" w:cs="Arial"/>
          <w:iCs/>
          <w:sz w:val="28"/>
          <w:szCs w:val="28"/>
        </w:rPr>
        <w:lastRenderedPageBreak/>
        <w:t xml:space="preserve">Федерации от 26.02.2010 № 96, выявлены </w:t>
      </w:r>
      <w:proofErr w:type="spellStart"/>
      <w:r>
        <w:rPr>
          <w:rFonts w:ascii="Times New Roman" w:hAnsi="Times New Roman" w:cs="Arial"/>
          <w:iCs/>
          <w:sz w:val="28"/>
          <w:szCs w:val="28"/>
        </w:rPr>
        <w:t>коррупциогенные</w:t>
      </w:r>
      <w:proofErr w:type="spellEnd"/>
      <w:r>
        <w:rPr>
          <w:rFonts w:ascii="Times New Roman" w:hAnsi="Times New Roman" w:cs="Arial"/>
          <w:iCs/>
          <w:sz w:val="28"/>
          <w:szCs w:val="28"/>
        </w:rPr>
        <w:t xml:space="preserve"> факторы.</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Подпунктом 9 пункта 5 установлено, что в случае выявления граждан с повышенной температурой - не допускать таких граждан в здания, строения, сооружения (помещения в них), в которых осуществляется деятельность торгово-развлекательных центров, предоставляются услуги общественного питания. </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Вместе с тем, в тексте акта не прописано, что понимается под повышенной температурой, неопределенность вышеприведенных положений  может отрицательно сказываться при </w:t>
      </w:r>
      <w:proofErr w:type="spellStart"/>
      <w:r>
        <w:rPr>
          <w:rFonts w:ascii="Times New Roman" w:hAnsi="Times New Roman" w:cs="Arial"/>
          <w:iCs/>
          <w:sz w:val="28"/>
          <w:szCs w:val="28"/>
        </w:rPr>
        <w:t>правоприменении</w:t>
      </w:r>
      <w:proofErr w:type="spellEnd"/>
      <w:r>
        <w:rPr>
          <w:rFonts w:ascii="Times New Roman" w:hAnsi="Times New Roman" w:cs="Arial"/>
          <w:iCs/>
          <w:sz w:val="28"/>
          <w:szCs w:val="28"/>
        </w:rPr>
        <w:t xml:space="preserve"> и привести к произвольной трактовки, а также  избирательности, которая </w:t>
      </w:r>
      <w:r>
        <w:rPr>
          <w:rFonts w:ascii="Times New Roman" w:hAnsi="Times New Roman" w:cs="Arial"/>
          <w:iCs/>
          <w:sz w:val="28"/>
          <w:szCs w:val="28"/>
        </w:rPr>
        <w:br/>
        <w:t xml:space="preserve">в правоотношениях напрямую способствует проявлению коррупции. </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Аналогичная формулировка используется в подпункте 7 пункта 19.</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Широта дискреционных полномочий - отсутствие или неопределенность сроков, условий или оснований принятия решения; выборочное изменение объема прав - возможность необоснованного установления исключений из общего порядка для граждан, а также употребление неустоявшихся, двусмысленных терминов и категорий оценочного характера в соответствии с подпунктами «а» и «в» пункта 3 и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являются </w:t>
      </w:r>
      <w:proofErr w:type="spellStart"/>
      <w:r>
        <w:rPr>
          <w:rFonts w:ascii="Times New Roman" w:hAnsi="Times New Roman" w:cs="Arial"/>
          <w:iCs/>
          <w:sz w:val="28"/>
          <w:szCs w:val="28"/>
        </w:rPr>
        <w:t>коррупциогенными</w:t>
      </w:r>
      <w:proofErr w:type="spellEnd"/>
      <w:r>
        <w:rPr>
          <w:rFonts w:ascii="Times New Roman" w:hAnsi="Times New Roman" w:cs="Arial"/>
          <w:iCs/>
          <w:sz w:val="28"/>
          <w:szCs w:val="28"/>
        </w:rPr>
        <w:t xml:space="preserve"> факторами.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Экспертное заключение с аналогичными доводами направлено Губернатору Московской области.</w:t>
      </w:r>
    </w:p>
    <w:p w:rsidR="00614B74" w:rsidRDefault="00614B74" w:rsidP="00614B74">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Учитывая изложенное, в настоящее время повторное направление экспертного заключения является нецелесообразным.</w:t>
      </w:r>
    </w:p>
    <w:p w:rsidR="00614B74" w:rsidRDefault="00614B74" w:rsidP="00614B74">
      <w:pPr>
        <w:spacing w:line="360" w:lineRule="auto"/>
        <w:ind w:left="284" w:right="709" w:firstLine="851"/>
        <w:contextualSpacing/>
        <w:rPr>
          <w:rFonts w:ascii="Times New Roman" w:hAnsi="Times New Roman" w:cs="Arial"/>
          <w:iCs/>
          <w:sz w:val="28"/>
          <w:szCs w:val="28"/>
        </w:rPr>
      </w:pPr>
    </w:p>
    <w:p w:rsidR="00614B74" w:rsidRDefault="00614B74" w:rsidP="00614B74">
      <w:pPr>
        <w:spacing w:line="360" w:lineRule="auto"/>
        <w:ind w:left="284" w:right="709" w:firstLine="851"/>
        <w:contextualSpacing/>
        <w:rPr>
          <w:rFonts w:ascii="Times New Roman" w:hAnsi="Times New Roman" w:cs="Arial"/>
          <w:iCs/>
          <w:sz w:val="28"/>
          <w:szCs w:val="28"/>
        </w:rPr>
      </w:pPr>
    </w:p>
    <w:p w:rsidR="00614B74" w:rsidRDefault="00614B74" w:rsidP="00614B74">
      <w:pPr>
        <w:spacing w:line="360" w:lineRule="auto"/>
        <w:ind w:left="284" w:right="709" w:firstLine="851"/>
        <w:contextualSpacing/>
        <w:rPr>
          <w:rFonts w:ascii="Times New Roman" w:hAnsi="Times New Roman" w:cs="Arial"/>
          <w:iCs/>
          <w:sz w:val="28"/>
          <w:szCs w:val="28"/>
        </w:rPr>
      </w:pPr>
    </w:p>
    <w:p w:rsidR="00614B74" w:rsidRDefault="00614B74" w:rsidP="00614B74">
      <w:pPr>
        <w:spacing w:line="360" w:lineRule="auto"/>
        <w:ind w:left="284" w:right="709" w:firstLine="0"/>
        <w:contextualSpacing/>
        <w:rPr>
          <w:rFonts w:ascii="Times New Roman" w:hAnsi="Times New Roman" w:cs="Arial"/>
          <w:iCs/>
          <w:sz w:val="28"/>
          <w:szCs w:val="28"/>
        </w:rPr>
      </w:pPr>
      <w:r>
        <w:rPr>
          <w:rFonts w:ascii="Times New Roman" w:hAnsi="Times New Roman" w:cs="Arial"/>
          <w:iCs/>
          <w:sz w:val="28"/>
          <w:szCs w:val="28"/>
        </w:rPr>
        <w:t xml:space="preserve">Начальник                                                                                  М.Ю. </w:t>
      </w:r>
      <w:proofErr w:type="spellStart"/>
      <w:r>
        <w:rPr>
          <w:rFonts w:ascii="Times New Roman" w:hAnsi="Times New Roman" w:cs="Arial"/>
          <w:iCs/>
          <w:sz w:val="28"/>
          <w:szCs w:val="28"/>
        </w:rPr>
        <w:t>Зелепукин</w:t>
      </w:r>
      <w:proofErr w:type="spellEnd"/>
    </w:p>
    <w:p w:rsidR="00614B74" w:rsidRDefault="00614B74" w:rsidP="00614B74">
      <w:pPr>
        <w:spacing w:line="360" w:lineRule="auto"/>
        <w:ind w:left="284" w:right="709" w:firstLine="0"/>
        <w:contextualSpacing/>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spacing w:line="360" w:lineRule="exact"/>
        <w:ind w:left="284" w:firstLine="0"/>
        <w:rPr>
          <w:rFonts w:ascii="Times New Roman" w:hAnsi="Times New Roman" w:cs="Arial"/>
          <w:iCs/>
          <w:sz w:val="28"/>
          <w:szCs w:val="28"/>
        </w:rPr>
      </w:pPr>
    </w:p>
    <w:p w:rsidR="00614B74" w:rsidRDefault="00614B74" w:rsidP="00614B74">
      <w:pPr>
        <w:ind w:left="284" w:firstLine="0"/>
        <w:contextualSpacing/>
        <w:rPr>
          <w:rFonts w:ascii="Times New Roman" w:hAnsi="Times New Roman" w:cs="Arial"/>
          <w:iCs/>
          <w:sz w:val="22"/>
          <w:szCs w:val="22"/>
        </w:rPr>
      </w:pPr>
      <w:r>
        <w:rPr>
          <w:rFonts w:ascii="Times New Roman" w:hAnsi="Times New Roman" w:cs="Arial"/>
          <w:iCs/>
          <w:sz w:val="22"/>
          <w:szCs w:val="22"/>
        </w:rPr>
        <w:t>Семина Л.С.</w:t>
      </w:r>
    </w:p>
    <w:p w:rsidR="00614B74" w:rsidRDefault="00614B74" w:rsidP="00614B74">
      <w:pPr>
        <w:ind w:left="284" w:firstLine="0"/>
        <w:contextualSpacing/>
        <w:rPr>
          <w:rFonts w:ascii="Times New Roman" w:hAnsi="Times New Roman" w:cs="Arial"/>
          <w:iCs/>
          <w:sz w:val="22"/>
          <w:szCs w:val="22"/>
        </w:rPr>
      </w:pPr>
      <w:r>
        <w:rPr>
          <w:rFonts w:ascii="Times New Roman" w:hAnsi="Times New Roman" w:cs="Arial"/>
          <w:iCs/>
          <w:sz w:val="22"/>
          <w:szCs w:val="22"/>
        </w:rPr>
        <w:t>(499) 124-27-81</w:t>
      </w:r>
    </w:p>
    <w:p w:rsidR="005017E6" w:rsidRPr="00614B74" w:rsidRDefault="005017E6" w:rsidP="00614B74"/>
    <w:sectPr w:rsidR="005017E6" w:rsidRPr="00614B74"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614B74"/>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14B74"/>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614B74"/>
    <w:pPr>
      <w:jc w:val="center"/>
      <w:outlineLvl w:val="0"/>
    </w:pPr>
    <w:rPr>
      <w:rFonts w:cs="Arial"/>
      <w:b/>
      <w:bCs/>
      <w:kern w:val="32"/>
      <w:sz w:val="32"/>
      <w:szCs w:val="32"/>
    </w:rPr>
  </w:style>
  <w:style w:type="paragraph" w:styleId="2">
    <w:name w:val="heading 2"/>
    <w:aliases w:val="!Разделы документа"/>
    <w:basedOn w:val="a"/>
    <w:link w:val="20"/>
    <w:qFormat/>
    <w:rsid w:val="00614B74"/>
    <w:pPr>
      <w:jc w:val="center"/>
      <w:outlineLvl w:val="1"/>
    </w:pPr>
    <w:rPr>
      <w:rFonts w:cs="Arial"/>
      <w:b/>
      <w:bCs/>
      <w:iCs/>
      <w:sz w:val="30"/>
      <w:szCs w:val="28"/>
    </w:rPr>
  </w:style>
  <w:style w:type="paragraph" w:styleId="3">
    <w:name w:val="heading 3"/>
    <w:aliases w:val="!Главы документа"/>
    <w:basedOn w:val="a"/>
    <w:link w:val="30"/>
    <w:qFormat/>
    <w:rsid w:val="00614B74"/>
    <w:pPr>
      <w:outlineLvl w:val="2"/>
    </w:pPr>
    <w:rPr>
      <w:rFonts w:cs="Arial"/>
      <w:b/>
      <w:bCs/>
      <w:sz w:val="28"/>
      <w:szCs w:val="26"/>
    </w:rPr>
  </w:style>
  <w:style w:type="paragraph" w:styleId="4">
    <w:name w:val="heading 4"/>
    <w:aliases w:val="!Параграфы/Статьи документа"/>
    <w:basedOn w:val="a"/>
    <w:link w:val="40"/>
    <w:qFormat/>
    <w:rsid w:val="00614B74"/>
    <w:pPr>
      <w:outlineLvl w:val="3"/>
    </w:pPr>
    <w:rPr>
      <w:b/>
      <w:bCs/>
      <w:sz w:val="26"/>
      <w:szCs w:val="28"/>
    </w:rPr>
  </w:style>
  <w:style w:type="character" w:default="1" w:styleId="a0">
    <w:name w:val="Default Paragraph Font"/>
    <w:semiHidden/>
    <w:rsid w:val="00614B74"/>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14B74"/>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614B74"/>
    <w:rPr>
      <w:rFonts w:ascii="Arial" w:eastAsia="Times New Roman" w:hAnsi="Arial" w:cs="Arial"/>
      <w:b/>
      <w:bCs/>
      <w:kern w:val="32"/>
      <w:sz w:val="32"/>
      <w:szCs w:val="32"/>
    </w:rPr>
  </w:style>
  <w:style w:type="character" w:customStyle="1" w:styleId="20">
    <w:name w:val="Заголовок 2 Знак"/>
    <w:basedOn w:val="a0"/>
    <w:link w:val="2"/>
    <w:rsid w:val="00614B74"/>
    <w:rPr>
      <w:rFonts w:ascii="Arial" w:eastAsia="Times New Roman" w:hAnsi="Arial" w:cs="Arial"/>
      <w:b/>
      <w:bCs/>
      <w:iCs/>
      <w:sz w:val="30"/>
      <w:szCs w:val="28"/>
    </w:rPr>
  </w:style>
  <w:style w:type="character" w:customStyle="1" w:styleId="30">
    <w:name w:val="Заголовок 3 Знак"/>
    <w:basedOn w:val="a0"/>
    <w:link w:val="3"/>
    <w:rsid w:val="00614B74"/>
    <w:rPr>
      <w:rFonts w:ascii="Arial" w:eastAsia="Times New Roman" w:hAnsi="Arial" w:cs="Arial"/>
      <w:b/>
      <w:bCs/>
      <w:sz w:val="28"/>
      <w:szCs w:val="26"/>
    </w:rPr>
  </w:style>
  <w:style w:type="character" w:customStyle="1" w:styleId="40">
    <w:name w:val="Заголовок 4 Знак"/>
    <w:basedOn w:val="a0"/>
    <w:link w:val="4"/>
    <w:rsid w:val="00614B74"/>
    <w:rPr>
      <w:rFonts w:ascii="Arial" w:eastAsia="Times New Roman" w:hAnsi="Arial"/>
      <w:b/>
      <w:bCs/>
      <w:sz w:val="26"/>
      <w:szCs w:val="28"/>
    </w:rPr>
  </w:style>
  <w:style w:type="character" w:styleId="HTML">
    <w:name w:val="HTML Variable"/>
    <w:aliases w:val="!Ссылки в документе"/>
    <w:basedOn w:val="a0"/>
    <w:rsid w:val="00614B7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14B74"/>
    <w:rPr>
      <w:rFonts w:ascii="Courier" w:hAnsi="Courier"/>
      <w:sz w:val="22"/>
      <w:szCs w:val="20"/>
    </w:rPr>
  </w:style>
  <w:style w:type="character" w:customStyle="1" w:styleId="a4">
    <w:name w:val="Текст примечания Знак"/>
    <w:basedOn w:val="a0"/>
    <w:link w:val="a3"/>
    <w:semiHidden/>
    <w:rsid w:val="00614B74"/>
    <w:rPr>
      <w:rFonts w:ascii="Courier" w:eastAsia="Times New Roman" w:hAnsi="Courier"/>
      <w:sz w:val="22"/>
    </w:rPr>
  </w:style>
  <w:style w:type="paragraph" w:customStyle="1" w:styleId="Title">
    <w:name w:val="Title!Название НПА"/>
    <w:basedOn w:val="a"/>
    <w:rsid w:val="00614B74"/>
    <w:pPr>
      <w:spacing w:before="240" w:after="60"/>
      <w:jc w:val="center"/>
      <w:outlineLvl w:val="0"/>
    </w:pPr>
    <w:rPr>
      <w:rFonts w:cs="Arial"/>
      <w:b/>
      <w:bCs/>
      <w:kern w:val="28"/>
      <w:sz w:val="32"/>
      <w:szCs w:val="32"/>
    </w:rPr>
  </w:style>
  <w:style w:type="character" w:styleId="a5">
    <w:name w:val="Hyperlink"/>
    <w:basedOn w:val="a0"/>
    <w:rsid w:val="00614B74"/>
    <w:rPr>
      <w:color w:val="0000FF"/>
      <w:u w:val="none"/>
    </w:rPr>
  </w:style>
  <w:style w:type="paragraph" w:customStyle="1" w:styleId="Application">
    <w:name w:val="Application!Приложение"/>
    <w:rsid w:val="00614B74"/>
    <w:pPr>
      <w:spacing w:before="120" w:after="120"/>
      <w:jc w:val="right"/>
    </w:pPr>
    <w:rPr>
      <w:rFonts w:ascii="Arial" w:eastAsia="Times New Roman" w:hAnsi="Arial" w:cs="Arial"/>
      <w:b/>
      <w:bCs/>
      <w:kern w:val="28"/>
      <w:sz w:val="32"/>
      <w:szCs w:val="32"/>
    </w:rPr>
  </w:style>
  <w:style w:type="paragraph" w:customStyle="1" w:styleId="Table">
    <w:name w:val="Table!Таблица"/>
    <w:rsid w:val="00614B74"/>
    <w:rPr>
      <w:rFonts w:ascii="Arial" w:eastAsia="Times New Roman" w:hAnsi="Arial" w:cs="Arial"/>
      <w:bCs/>
      <w:kern w:val="28"/>
      <w:sz w:val="24"/>
      <w:szCs w:val="32"/>
    </w:rPr>
  </w:style>
  <w:style w:type="paragraph" w:customStyle="1" w:styleId="Table0">
    <w:name w:val="Table!"/>
    <w:next w:val="Table"/>
    <w:rsid w:val="00614B74"/>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14B74"/>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614B74"/>
    <w:rPr>
      <w:sz w:val="28"/>
    </w:rPr>
  </w:style>
  <w:style w:type="paragraph" w:customStyle="1" w:styleId="ConsPlusNormal">
    <w:name w:val="ConsPlusNormal"/>
    <w:rsid w:val="00614B74"/>
    <w:pPr>
      <w:autoSpaceDE w:val="0"/>
      <w:autoSpaceDN w:val="0"/>
      <w:adjustRightInd w:val="0"/>
      <w:ind w:firstLine="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72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4310C1-9A32-4935-B7A4-53C8C6C4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8</Pages>
  <Words>1291</Words>
  <Characters>9658</Characters>
  <Application>Microsoft Office Word</Application>
  <DocSecurity>0</DocSecurity>
  <Lines>536</Lines>
  <Paragraphs>223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Семина Людмила Сергеевна</dc:creator>
  <cp:keywords/>
  <cp:lastModifiedBy>Семина Людмила Сергеевна</cp:lastModifiedBy>
  <cp:revision>1</cp:revision>
  <dcterms:created xsi:type="dcterms:W3CDTF">2020-12-02T07:14:00Z</dcterms:created>
  <dcterms:modified xsi:type="dcterms:W3CDTF">2020-12-02T07:15:00Z</dcterms:modified>
</cp:coreProperties>
</file>