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C3D" w:rsidRDefault="006D0C3D" w:rsidP="006D0C3D">
      <w:pPr>
        <w:adjustRightInd w:val="0"/>
        <w:ind w:firstLine="720"/>
        <w:jc w:val="left"/>
        <w:rPr>
          <w:rFonts w:ascii="Times New Roman" w:hAnsi="Times New Roman"/>
          <w:iCs/>
          <w:sz w:val="28"/>
          <w:szCs w:val="28"/>
        </w:rPr>
      </w:pPr>
    </w:p>
    <w:p w:rsidR="006D0C3D" w:rsidRDefault="006D0C3D" w:rsidP="006D0C3D">
      <w:pPr>
        <w:adjustRightInd w:val="0"/>
        <w:ind w:firstLine="720"/>
        <w:jc w:val="left"/>
        <w:rPr>
          <w:rFonts w:ascii="Times New Roman" w:hAnsi="Times New Roman"/>
          <w:iCs/>
          <w:sz w:val="28"/>
          <w:szCs w:val="28"/>
        </w:rPr>
      </w:pPr>
    </w:p>
    <w:p w:rsidR="006D0C3D" w:rsidRDefault="006D0C3D" w:rsidP="006D0C3D">
      <w:pPr>
        <w:spacing w:line="360" w:lineRule="auto"/>
        <w:ind w:firstLine="0"/>
        <w:jc w:val="center"/>
        <w:rPr>
          <w:rFonts w:ascii="Times New Roman" w:hAnsi="Times New Roman"/>
          <w:sz w:val="28"/>
          <w:szCs w:val="28"/>
        </w:rPr>
      </w:pPr>
    </w:p>
    <w:p w:rsidR="006D0C3D" w:rsidRDefault="006D0C3D" w:rsidP="006D0C3D">
      <w:pPr>
        <w:spacing w:line="360" w:lineRule="auto"/>
        <w:ind w:firstLine="0"/>
        <w:jc w:val="center"/>
        <w:rPr>
          <w:rFonts w:ascii="Times New Roman" w:hAnsi="Times New Roman"/>
          <w:sz w:val="28"/>
          <w:szCs w:val="28"/>
        </w:rPr>
      </w:pPr>
    </w:p>
    <w:p w:rsidR="006D0C3D" w:rsidRDefault="006D0C3D" w:rsidP="006D0C3D">
      <w:pPr>
        <w:spacing w:line="360" w:lineRule="auto"/>
        <w:ind w:firstLine="0"/>
        <w:jc w:val="left"/>
        <w:rPr>
          <w:rFonts w:ascii="Times New Roman" w:hAnsi="Times New Roman"/>
          <w:sz w:val="28"/>
          <w:szCs w:val="28"/>
        </w:rPr>
      </w:pPr>
      <w:r>
        <w:rPr>
          <w:rFonts w:ascii="Times New Roman" w:hAnsi="Times New Roman"/>
          <w:sz w:val="28"/>
          <w:szCs w:val="28"/>
        </w:rPr>
        <w:t>18.11.2020 № 2633</w:t>
      </w:r>
      <w:bookmarkStart w:id="0" w:name="_GoBack"/>
      <w:bookmarkEnd w:id="0"/>
    </w:p>
    <w:p w:rsidR="006D0C3D" w:rsidRDefault="006D0C3D" w:rsidP="006D0C3D">
      <w:pPr>
        <w:spacing w:line="360" w:lineRule="auto"/>
        <w:ind w:firstLine="0"/>
        <w:jc w:val="center"/>
        <w:rPr>
          <w:rFonts w:ascii="Times New Roman" w:hAnsi="Times New Roman"/>
          <w:sz w:val="28"/>
          <w:szCs w:val="28"/>
        </w:rPr>
      </w:pPr>
    </w:p>
    <w:p w:rsidR="006D0C3D" w:rsidRDefault="006D0C3D" w:rsidP="006D0C3D">
      <w:pPr>
        <w:spacing w:line="360" w:lineRule="auto"/>
        <w:ind w:firstLine="0"/>
        <w:jc w:val="center"/>
        <w:rPr>
          <w:rFonts w:ascii="Times New Roman" w:hAnsi="Times New Roman"/>
          <w:sz w:val="28"/>
          <w:szCs w:val="28"/>
        </w:rPr>
      </w:pPr>
    </w:p>
    <w:p w:rsidR="006D0C3D" w:rsidRDefault="006D0C3D" w:rsidP="006D0C3D">
      <w:pPr>
        <w:spacing w:line="360" w:lineRule="auto"/>
        <w:ind w:firstLine="0"/>
        <w:jc w:val="center"/>
        <w:rPr>
          <w:rFonts w:ascii="Times New Roman" w:hAnsi="Times New Roman"/>
          <w:sz w:val="28"/>
          <w:szCs w:val="28"/>
        </w:rPr>
      </w:pPr>
    </w:p>
    <w:p w:rsidR="006D0C3D" w:rsidRDefault="006D0C3D" w:rsidP="006D0C3D">
      <w:pPr>
        <w:spacing w:line="360" w:lineRule="auto"/>
        <w:ind w:firstLine="0"/>
        <w:jc w:val="center"/>
        <w:rPr>
          <w:rFonts w:ascii="Times New Roman" w:hAnsi="Times New Roman"/>
          <w:sz w:val="28"/>
          <w:szCs w:val="28"/>
        </w:rPr>
      </w:pPr>
    </w:p>
    <w:p w:rsidR="006D0C3D" w:rsidRDefault="006D0C3D" w:rsidP="006D0C3D">
      <w:pPr>
        <w:spacing w:line="360" w:lineRule="auto"/>
        <w:ind w:firstLine="0"/>
        <w:jc w:val="center"/>
        <w:rPr>
          <w:rFonts w:ascii="Times New Roman" w:hAnsi="Times New Roman"/>
          <w:sz w:val="28"/>
          <w:szCs w:val="28"/>
        </w:rPr>
      </w:pPr>
      <w:r>
        <w:rPr>
          <w:rFonts w:ascii="Times New Roman" w:hAnsi="Times New Roman"/>
          <w:sz w:val="28"/>
          <w:szCs w:val="28"/>
        </w:rPr>
        <w:t xml:space="preserve">  ЭКСПЕРТНОЕ ЗАКЛЮЧЕНИЕ</w:t>
      </w:r>
    </w:p>
    <w:p w:rsidR="006D0C3D" w:rsidRDefault="006D0C3D" w:rsidP="006D0C3D">
      <w:pPr>
        <w:pStyle w:val="ConsPlusNormal"/>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по результатам проведения правовой экспертизы</w:t>
      </w:r>
    </w:p>
    <w:p w:rsidR="006D0C3D" w:rsidRDefault="006D0C3D" w:rsidP="006D0C3D">
      <w:pPr>
        <w:pStyle w:val="ConsPlusNormal"/>
        <w:spacing w:line="360" w:lineRule="auto"/>
        <w:ind w:left="284" w:right="709" w:firstLine="0"/>
        <w:contextualSpacing/>
        <w:jc w:val="both"/>
        <w:rPr>
          <w:rFonts w:ascii="Times New Roman" w:hAnsi="Times New Roman" w:cs="Times New Roman"/>
          <w:iCs/>
          <w:sz w:val="28"/>
          <w:szCs w:val="28"/>
        </w:rPr>
      </w:pPr>
      <w:r>
        <w:rPr>
          <w:rFonts w:ascii="Times New Roman" w:hAnsi="Times New Roman" w:cs="Times New Roman"/>
          <w:sz w:val="28"/>
          <w:szCs w:val="28"/>
        </w:rPr>
        <w:t xml:space="preserve">на постановление Губернатора Московской области </w:t>
      </w:r>
      <w:r>
        <w:rPr>
          <w:rFonts w:ascii="Times New Roman" w:hAnsi="Times New Roman" w:cs="Times New Roman"/>
          <w:iCs/>
          <w:sz w:val="28"/>
          <w:szCs w:val="28"/>
        </w:rPr>
        <w:t xml:space="preserve">от 12.03.2020 </w:t>
      </w:r>
      <w:r>
        <w:rPr>
          <w:rFonts w:ascii="Times New Roman" w:hAnsi="Times New Roman" w:cs="Times New Roman"/>
          <w:iCs/>
          <w:sz w:val="28"/>
          <w:szCs w:val="28"/>
        </w:rPr>
        <w:br/>
        <w:t xml:space="preserve">№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 174-ПГ, от 09.04.2020 № 175-ПГ, от 10.04.2020 № 176-ПГ, от 12.04.2020 № 178-ПГ, от 18.04.2020 № 193-ПГ, от 21.04.2020 № 204-ПГ, от 28.04.2020 № 214-ПГ, от 29.04.2020 № 216-ПГ, от 01.05.2020 № 222-ПГ, от 07.05.2020 № 227-ПГ, от 11.05.2020 № 229-ПГ, от 17.05.2020 № 239-ПГ, от 22.05.2020 № 244-ПГ, от 28.05.2020 № 263-ПГ, от 01.06.2020 № 268-ПГ, от 11.06.2020 № 282-ПГ, от 19.06.2020 № 293-ПГ, 30.06.2020 № 306-ПГ, </w:t>
      </w:r>
      <w:r>
        <w:rPr>
          <w:rFonts w:ascii="Times New Roman" w:hAnsi="Times New Roman" w:cs="Times New Roman"/>
          <w:iCs/>
          <w:sz w:val="28"/>
          <w:szCs w:val="28"/>
        </w:rPr>
        <w:br/>
        <w:t xml:space="preserve">от 08.07.2020 № 318-ПГ, от 15.07.2020 № 332-ПГ, от 23.07.2020 № </w:t>
      </w:r>
      <w:r>
        <w:rPr>
          <w:rFonts w:ascii="Times New Roman" w:hAnsi="Times New Roman" w:cs="Times New Roman"/>
          <w:iCs/>
          <w:sz w:val="28"/>
          <w:szCs w:val="28"/>
        </w:rPr>
        <w:lastRenderedPageBreak/>
        <w:t>344-ПГ, от 01.08.2020 № 353-ПГ, от 06.08.2020 № 354-ПГ, от 20.08.2020 № 374-ПГ, от 18.09.2020 № 414-ПГ, от 25.09.2020 № 420-ПГ, от 01.10.2020 № 429-ПГ, от 07.10.2020 № 439-ПГ, от 15.10.2020 № 455-ПГ, от 19.10.2020 № 463-ПГ, от 31.10.2020 № 485-ПГ, от 06.11.2020 № 496-ПГ, от 09.11.2020 № 502-ПГ)</w:t>
      </w:r>
    </w:p>
    <w:p w:rsidR="006D0C3D" w:rsidRDefault="006D0C3D" w:rsidP="006D0C3D">
      <w:pPr>
        <w:pStyle w:val="ConsPlusNormal"/>
        <w:spacing w:line="360" w:lineRule="auto"/>
        <w:ind w:left="284" w:right="709" w:firstLine="851"/>
        <w:contextualSpacing/>
        <w:jc w:val="both"/>
        <w:rPr>
          <w:rFonts w:ascii="Times New Roman" w:hAnsi="Times New Roman" w:cs="Times New Roman"/>
          <w:iCs/>
          <w:sz w:val="28"/>
          <w:szCs w:val="28"/>
        </w:rPr>
      </w:pPr>
    </w:p>
    <w:p w:rsidR="006D0C3D" w:rsidRDefault="006D0C3D" w:rsidP="006D0C3D">
      <w:pPr>
        <w:pStyle w:val="ConsPlusNormal"/>
        <w:spacing w:line="360" w:lineRule="auto"/>
        <w:ind w:left="284" w:right="709" w:firstLine="851"/>
        <w:contextualSpacing/>
        <w:jc w:val="both"/>
        <w:rPr>
          <w:rFonts w:ascii="Times New Roman" w:hAnsi="Times New Roman" w:cs="Times New Roman"/>
          <w:iCs/>
          <w:sz w:val="28"/>
          <w:szCs w:val="28"/>
        </w:rPr>
      </w:pPr>
      <w:r>
        <w:rPr>
          <w:rFonts w:ascii="Times New Roman" w:hAnsi="Times New Roman" w:cs="Times New Roman"/>
          <w:iCs/>
          <w:sz w:val="28"/>
          <w:szCs w:val="28"/>
        </w:rPr>
        <w:t>Управление Министерства юстиции Российской</w:t>
      </w:r>
      <w:r>
        <w:rPr>
          <w:rFonts w:ascii="Times New Roman" w:hAnsi="Times New Roman" w:cs="Times New Roman"/>
          <w:sz w:val="28"/>
          <w:szCs w:val="28"/>
        </w:rPr>
        <w:t xml:space="preserve"> Федерации по Московской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провело правовую экспертизу постановления Губернатора Московской области </w:t>
      </w:r>
      <w:r>
        <w:rPr>
          <w:rFonts w:ascii="Times New Roman" w:hAnsi="Times New Roman" w:cs="Times New Roman"/>
          <w:iCs/>
          <w:sz w:val="28"/>
          <w:szCs w:val="28"/>
        </w:rPr>
        <w:t xml:space="preserve">от 12.03.2020 № 108-ПГ </w:t>
      </w:r>
      <w:r>
        <w:rPr>
          <w:rFonts w:ascii="Times New Roman" w:hAnsi="Times New Roman" w:cs="Times New Roman"/>
          <w:iCs/>
          <w:sz w:val="28"/>
          <w:szCs w:val="28"/>
        </w:rPr>
        <w:br/>
        <w:t xml:space="preserve">«О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 174-ПГ, от 09.04.2020 № 175-ПГ, от 10.04.2020 № 176-ПГ, от 12.04.2020 № 178-ПГ, от 18.04.2020 № 193-ПГ, от 21.04.2020 № 204-ПГ, от 28.04.2020 № 214-ПГ, от 29.04.2020 № 216-ПГ, от 01.05.2020 </w:t>
      </w:r>
      <w:r>
        <w:rPr>
          <w:rFonts w:ascii="Times New Roman" w:hAnsi="Times New Roman" w:cs="Times New Roman"/>
          <w:iCs/>
          <w:sz w:val="28"/>
          <w:szCs w:val="28"/>
        </w:rPr>
        <w:lastRenderedPageBreak/>
        <w:t xml:space="preserve">№ 222-ПГ, от 07.05.2020 № 227-ПГ, от 11.05.2020 № 229-ПГ, от 17.05.2020 № 239-ПГ, от 22.05.2020 № 244-ПГ, от 28.05.2020 № 263-ПГ, от 01.06.2020 № 268-ПГ, от 11.06.2020 № 282-ПГ, от 19.06.2020 № 293-ПГ, 30.06.2020 № 306-ПГ, </w:t>
      </w:r>
      <w:r>
        <w:rPr>
          <w:rFonts w:ascii="Times New Roman" w:hAnsi="Times New Roman" w:cs="Times New Roman"/>
          <w:iCs/>
          <w:sz w:val="28"/>
          <w:szCs w:val="28"/>
        </w:rPr>
        <w:br/>
        <w:t xml:space="preserve">от 08.07.2020 № 318-ПГ, от 15.07.2020 № 332-ПГ, от 23.07.2020 № 344-ПГ, от 01.08.2020 № 353-ПГ, от 06.08.2020 № 354-ПГ, от 20.08.2020 № 374-ПГ, от 18.09.2020 № 414-ПГ, от 25.09.2020 № 420-ПГ, от 01.10.2020 № 429-ПГ, от 07.10.2020 № 439-ПГ, от 15.10.2020 № 455-ПГ, от 19.10.2020 </w:t>
      </w:r>
      <w:r>
        <w:rPr>
          <w:rFonts w:ascii="Times New Roman" w:hAnsi="Times New Roman" w:cs="Times New Roman"/>
          <w:iCs/>
          <w:sz w:val="28"/>
          <w:szCs w:val="28"/>
        </w:rPr>
        <w:br/>
        <w:t>№ 463-ПГ, от 31.10.2020 № 485-ПГ,</w:t>
      </w:r>
      <w:r>
        <w:t xml:space="preserve"> </w:t>
      </w:r>
      <w:r>
        <w:rPr>
          <w:rFonts w:ascii="Times New Roman" w:hAnsi="Times New Roman" w:cs="Times New Roman"/>
          <w:iCs/>
          <w:sz w:val="28"/>
          <w:szCs w:val="28"/>
        </w:rPr>
        <w:t>от 06.11.2020 № 496-ПГ,</w:t>
      </w:r>
      <w:r>
        <w:t xml:space="preserve"> </w:t>
      </w:r>
      <w:r>
        <w:rPr>
          <w:rFonts w:ascii="Times New Roman" w:hAnsi="Times New Roman" w:cs="Times New Roman"/>
          <w:iCs/>
          <w:sz w:val="28"/>
          <w:szCs w:val="28"/>
        </w:rPr>
        <w:t>от 09.11.2020 № 502-ПГ).</w:t>
      </w:r>
    </w:p>
    <w:p w:rsidR="006D0C3D" w:rsidRDefault="006D0C3D" w:rsidP="006D0C3D">
      <w:pPr>
        <w:pStyle w:val="ConsPlusNormal"/>
        <w:spacing w:line="360" w:lineRule="auto"/>
        <w:ind w:left="284" w:right="709" w:firstLine="851"/>
        <w:contextualSpacing/>
        <w:jc w:val="both"/>
        <w:rPr>
          <w:rFonts w:ascii="Times New Roman" w:hAnsi="Times New Roman"/>
          <w:iCs/>
          <w:sz w:val="28"/>
          <w:szCs w:val="28"/>
        </w:rPr>
      </w:pPr>
      <w:r>
        <w:rPr>
          <w:rFonts w:ascii="Times New Roman" w:hAnsi="Times New Roman"/>
          <w:iCs/>
          <w:sz w:val="28"/>
          <w:szCs w:val="28"/>
        </w:rPr>
        <w:t xml:space="preserve">Поводом проведения правовой экспертизы послужило принятие постановление Губернатора Московской области от 09.11.2020 № 502-ПГ «О внесении изменений в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iCs/>
          <w:sz w:val="28"/>
          <w:szCs w:val="28"/>
        </w:rPr>
        <w:t>коронавирусной</w:t>
      </w:r>
      <w:proofErr w:type="spellEnd"/>
      <w:r>
        <w:rPr>
          <w:rFonts w:ascii="Times New Roman" w:hAnsi="Times New Roman"/>
          <w:iCs/>
          <w:sz w:val="28"/>
          <w:szCs w:val="28"/>
        </w:rPr>
        <w:t xml:space="preserve"> инфекции (COVID-2019) на территории Московской области».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Предметом регулирования данного нормативного правового акта являются отношения, связанные с введением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Согласно пункту «ж» части 1 статьи 72 Конституции Российской Федерации координация вопросов здравоохранения </w:t>
      </w:r>
      <w:r>
        <w:rPr>
          <w:rFonts w:ascii="Times New Roman" w:hAnsi="Times New Roman" w:cs="Arial"/>
          <w:iCs/>
          <w:sz w:val="28"/>
          <w:szCs w:val="28"/>
        </w:rPr>
        <w:lastRenderedPageBreak/>
        <w:t>находится в совместном ведении Российской Федерации и субъектов Российской Федерации.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Конституции Российской Федерации).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Правовой основой регулирования данной сферы отношений являются:</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Конституция Российской Федерации;</w:t>
      </w:r>
    </w:p>
    <w:p w:rsidR="006D0C3D" w:rsidRDefault="006D0C3D" w:rsidP="006D0C3D">
      <w:pPr>
        <w:autoSpaceDE w:val="0"/>
        <w:autoSpaceDN w:val="0"/>
        <w:adjustRightInd w:val="0"/>
        <w:spacing w:line="360" w:lineRule="auto"/>
        <w:ind w:left="284" w:right="709" w:firstLine="851"/>
        <w:contextualSpacing/>
        <w:rPr>
          <w:rFonts w:ascii="Times New Roman" w:hAnsi="Times New Roman" w:cs="Arial"/>
          <w:iCs/>
          <w:sz w:val="28"/>
          <w:szCs w:val="28"/>
        </w:rPr>
      </w:pPr>
      <w:r>
        <w:rPr>
          <w:rFonts w:ascii="Times New Roman" w:eastAsia="Calibri" w:hAnsi="Times New Roman"/>
          <w:sz w:val="28"/>
          <w:szCs w:val="28"/>
          <w:lang w:eastAsia="en-US"/>
        </w:rPr>
        <w:t xml:space="preserve">-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eastAsia="Calibri" w:hAnsi="Times New Roman"/>
          <w:sz w:val="28"/>
          <w:szCs w:val="28"/>
          <w:lang w:eastAsia="en-US"/>
        </w:rPr>
        <w:t>коронавирусной</w:t>
      </w:r>
      <w:proofErr w:type="spellEnd"/>
      <w:r>
        <w:rPr>
          <w:rFonts w:ascii="Times New Roman" w:eastAsia="Calibri" w:hAnsi="Times New Roman"/>
          <w:sz w:val="28"/>
          <w:szCs w:val="28"/>
          <w:lang w:eastAsia="en-US"/>
        </w:rPr>
        <w:t xml:space="preserve"> инфекции (COVID-19)»;</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21.12.1994 № 68-ФЗ «О защите населения и территорий от чрезвычайных ситуаций природного и техногенного характера»;</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30.03.1999 № 52-ФЗ «О санитарно-эпидемиологическом благополучии населения»;</w:t>
      </w:r>
    </w:p>
    <w:p w:rsidR="006D0C3D" w:rsidRDefault="006D0C3D" w:rsidP="006D0C3D">
      <w:pPr>
        <w:autoSpaceDE w:val="0"/>
        <w:autoSpaceDN w:val="0"/>
        <w:adjustRightInd w:val="0"/>
        <w:spacing w:line="360" w:lineRule="auto"/>
        <w:ind w:left="284" w:right="709" w:firstLine="851"/>
        <w:contextualSpacing/>
        <w:rPr>
          <w:rFonts w:ascii="Times New Roman" w:eastAsia="Calibri" w:hAnsi="Times New Roman"/>
          <w:sz w:val="28"/>
          <w:szCs w:val="28"/>
          <w:lang w:eastAsia="en-US"/>
        </w:rPr>
      </w:pPr>
      <w:r>
        <w:rPr>
          <w:rFonts w:ascii="Times New Roman" w:eastAsia="Calibri" w:hAnsi="Times New Roman"/>
          <w:sz w:val="28"/>
          <w:szCs w:val="28"/>
          <w:lang w:eastAsia="en-US"/>
        </w:rPr>
        <w:t>-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постановление Правительства Российской Федерации от 30.12.2003 № 794 «О единой государственной системе предупреждения и ликвидации чрезвычайных ситуаций»;</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иные нормативные правовые акты.</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 xml:space="preserve">В силу положений подпункта 5 пункта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и подпункта «м» пункта 1 статьи 11 Федерального закона от 21.12.1994 № 68-ФЗ </w:t>
      </w:r>
      <w:r>
        <w:rPr>
          <w:rFonts w:ascii="Times New Roman" w:hAnsi="Times New Roman" w:cs="Arial"/>
          <w:iCs/>
          <w:sz w:val="28"/>
          <w:szCs w:val="28"/>
        </w:rPr>
        <w:br/>
        <w:t>«О защите населения и территорий от чрезвычайных ситуаций природного и техногенного характера»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предупреждения чрезвычайных ситуаций межмуниципального и регионального характера, введение  режима повышенной готовности или чрезвычайной ситуации для соответствующих органов управления и сил единой государственной системы предупреждения и ликвидации чрезвычайных ситуаций; стихийных бедствий, эпидемий и ликвидации их последствий, реализации мероприятий, направленных на спасение жизни и сохранение здоровья людей при чрезвычайных ситуациях.</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Согласно пункту 2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высшим должностным лицам (руководителям высших исполнительных органов государственной власти) субъектов Российской Федерации с учетом положений настоящего Указа, исходя из санитарно-эпидемиологической обстановки и особенностей распространения </w:t>
      </w:r>
      <w:r>
        <w:rPr>
          <w:rFonts w:ascii="Times New Roman" w:hAnsi="Times New Roman" w:cs="Arial"/>
          <w:iCs/>
          <w:sz w:val="28"/>
          <w:szCs w:val="28"/>
        </w:rPr>
        <w:lastRenderedPageBreak/>
        <w:t xml:space="preserve">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 субъекте Российской Федерации, обеспечить разработку и реализацию комплекса ограничительных и иных мероприятий.</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Таким образом, рассматриваемое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 в пределах компетенции высшего должностного лица субъекта Российской Федерации  - Губернатором Московской области.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Рассматриваемое постановление Губернатора Московской области является достаточным и необходимым нормативным правовым актов регулирующим соответствующую сферу правоотношений.</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В ходе проведения правовой экспертизы установлено следующее.</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Форма и текст нормативного правового акта соответствуют правилам юридической техники.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Нормативный правовой акт субъекта Российской Федерации не содержит противоречий Конституции Российской Федерации и федеральному законодательству.</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 результатам проведенной антикоррупционной экспертизы </w:t>
      </w:r>
      <w:r>
        <w:rPr>
          <w:rFonts w:ascii="Times New Roman" w:hAnsi="Times New Roman" w:cs="Arial"/>
          <w:iCs/>
          <w:sz w:val="28"/>
          <w:szCs w:val="28"/>
        </w:rPr>
        <w:br/>
        <w:t xml:space="preserve">в соответствии с частью 3 статьи 3 Федерального закона от 17.07.2009 </w:t>
      </w:r>
      <w:r>
        <w:rPr>
          <w:rFonts w:ascii="Times New Roman" w:hAnsi="Times New Roman" w:cs="Arial"/>
          <w:iCs/>
          <w:sz w:val="28"/>
          <w:szCs w:val="28"/>
        </w:rPr>
        <w:br/>
        <w:t xml:space="preserve">№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w:t>
      </w:r>
      <w:r>
        <w:rPr>
          <w:rFonts w:ascii="Times New Roman" w:hAnsi="Times New Roman" w:cs="Arial"/>
          <w:iCs/>
          <w:sz w:val="28"/>
          <w:szCs w:val="28"/>
        </w:rPr>
        <w:br/>
      </w:r>
      <w:r>
        <w:rPr>
          <w:rFonts w:ascii="Times New Roman" w:hAnsi="Times New Roman" w:cs="Arial"/>
          <w:iCs/>
          <w:sz w:val="28"/>
          <w:szCs w:val="28"/>
        </w:rPr>
        <w:lastRenderedPageBreak/>
        <w:t xml:space="preserve">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w:t>
      </w:r>
      <w:proofErr w:type="spellStart"/>
      <w:r>
        <w:rPr>
          <w:rFonts w:ascii="Times New Roman" w:hAnsi="Times New Roman" w:cs="Arial"/>
          <w:iCs/>
          <w:sz w:val="28"/>
          <w:szCs w:val="28"/>
        </w:rPr>
        <w:t>коррупциогенные</w:t>
      </w:r>
      <w:proofErr w:type="spellEnd"/>
      <w:r>
        <w:rPr>
          <w:rFonts w:ascii="Times New Roman" w:hAnsi="Times New Roman" w:cs="Arial"/>
          <w:iCs/>
          <w:sz w:val="28"/>
          <w:szCs w:val="28"/>
        </w:rPr>
        <w:t xml:space="preserve"> факторы.</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Подпунктом 9 пункта 5 установлено, что в случае выявления граждан с повышенной температурой - не допускать таких граждан в здания, строения, сооружения (помещения в них), в которых осуществляется деятельность торгово-развлекательных центров, предоставляются услуги общественного питания. </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Вместе с тем, в тексте акта не прописано, что понимается под повышенной температурой, неопределенность вышеприведенных положений  может отрицательно сказываться при </w:t>
      </w:r>
      <w:proofErr w:type="spellStart"/>
      <w:r>
        <w:rPr>
          <w:rFonts w:ascii="Times New Roman" w:hAnsi="Times New Roman" w:cs="Arial"/>
          <w:iCs/>
          <w:sz w:val="28"/>
          <w:szCs w:val="28"/>
        </w:rPr>
        <w:t>правоприменении</w:t>
      </w:r>
      <w:proofErr w:type="spellEnd"/>
      <w:r>
        <w:rPr>
          <w:rFonts w:ascii="Times New Roman" w:hAnsi="Times New Roman" w:cs="Arial"/>
          <w:iCs/>
          <w:sz w:val="28"/>
          <w:szCs w:val="28"/>
        </w:rPr>
        <w:t xml:space="preserve"> и привести к произвольной трактовки, а также  избирательности, которая </w:t>
      </w:r>
      <w:r>
        <w:rPr>
          <w:rFonts w:ascii="Times New Roman" w:hAnsi="Times New Roman" w:cs="Arial"/>
          <w:iCs/>
          <w:sz w:val="28"/>
          <w:szCs w:val="28"/>
        </w:rPr>
        <w:br/>
        <w:t xml:space="preserve">в правоотношениях напрямую способствует проявлению коррупции. </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Аналогичная формулировка используется в подпункте 7 пункта 19.</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Широта дискреционных полномочий - отсутствие или неопределенность сроков, условий или оснований принятия решения; выборочное изменение объема прав - возможность необоснованного установления исключений из общего порядка для граждан, а также употребление неустоявшихся, двусмысленных терминов и категорий оценочного характера в соответствии с подпунктами «а» и «в» пункта 3 и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являются </w:t>
      </w:r>
      <w:proofErr w:type="spellStart"/>
      <w:r>
        <w:rPr>
          <w:rFonts w:ascii="Times New Roman" w:hAnsi="Times New Roman" w:cs="Arial"/>
          <w:iCs/>
          <w:sz w:val="28"/>
          <w:szCs w:val="28"/>
        </w:rPr>
        <w:t>коррупциогенными</w:t>
      </w:r>
      <w:proofErr w:type="spellEnd"/>
      <w:r>
        <w:rPr>
          <w:rFonts w:ascii="Times New Roman" w:hAnsi="Times New Roman" w:cs="Arial"/>
          <w:iCs/>
          <w:sz w:val="28"/>
          <w:szCs w:val="28"/>
        </w:rPr>
        <w:t xml:space="preserve"> факторами.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Экспертное заключение с аналогичными доводами направлено Губернатору Московской области.</w:t>
      </w:r>
    </w:p>
    <w:p w:rsidR="006D0C3D" w:rsidRDefault="006D0C3D" w:rsidP="006D0C3D">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Учитывая изложенное, в настоящее время повторное направление экспертного заключения является нецелесообразным.</w:t>
      </w:r>
    </w:p>
    <w:p w:rsidR="006D0C3D" w:rsidRDefault="006D0C3D" w:rsidP="006D0C3D">
      <w:pPr>
        <w:spacing w:line="360" w:lineRule="auto"/>
        <w:ind w:left="284" w:right="709" w:firstLine="851"/>
        <w:contextualSpacing/>
        <w:rPr>
          <w:rFonts w:ascii="Times New Roman" w:hAnsi="Times New Roman" w:cs="Arial"/>
          <w:iCs/>
          <w:sz w:val="28"/>
          <w:szCs w:val="28"/>
        </w:rPr>
      </w:pPr>
    </w:p>
    <w:p w:rsidR="006D0C3D" w:rsidRDefault="006D0C3D" w:rsidP="006D0C3D">
      <w:pPr>
        <w:spacing w:line="360" w:lineRule="auto"/>
        <w:ind w:left="284" w:right="709" w:firstLine="851"/>
        <w:contextualSpacing/>
        <w:rPr>
          <w:rFonts w:ascii="Times New Roman" w:hAnsi="Times New Roman" w:cs="Arial"/>
          <w:iCs/>
          <w:sz w:val="28"/>
          <w:szCs w:val="28"/>
        </w:rPr>
      </w:pPr>
    </w:p>
    <w:p w:rsidR="006D0C3D" w:rsidRDefault="006D0C3D" w:rsidP="006D0C3D">
      <w:pPr>
        <w:spacing w:line="360" w:lineRule="auto"/>
        <w:ind w:left="284" w:right="709" w:firstLine="851"/>
        <w:contextualSpacing/>
        <w:rPr>
          <w:rFonts w:ascii="Times New Roman" w:hAnsi="Times New Roman" w:cs="Arial"/>
          <w:iCs/>
          <w:sz w:val="28"/>
          <w:szCs w:val="28"/>
        </w:rPr>
      </w:pPr>
    </w:p>
    <w:p w:rsidR="006D0C3D" w:rsidRDefault="006D0C3D" w:rsidP="006D0C3D">
      <w:pPr>
        <w:spacing w:line="360" w:lineRule="auto"/>
        <w:ind w:left="284" w:right="709" w:firstLine="0"/>
        <w:contextualSpacing/>
        <w:rPr>
          <w:rFonts w:ascii="Times New Roman" w:hAnsi="Times New Roman" w:cs="Arial"/>
          <w:iCs/>
          <w:sz w:val="28"/>
          <w:szCs w:val="28"/>
        </w:rPr>
      </w:pPr>
      <w:r>
        <w:rPr>
          <w:rFonts w:ascii="Times New Roman" w:hAnsi="Times New Roman" w:cs="Arial"/>
          <w:iCs/>
          <w:sz w:val="28"/>
          <w:szCs w:val="28"/>
        </w:rPr>
        <w:t xml:space="preserve">Начальник                                                                                  М.Ю. </w:t>
      </w:r>
      <w:proofErr w:type="spellStart"/>
      <w:r>
        <w:rPr>
          <w:rFonts w:ascii="Times New Roman" w:hAnsi="Times New Roman" w:cs="Arial"/>
          <w:iCs/>
          <w:sz w:val="28"/>
          <w:szCs w:val="28"/>
        </w:rPr>
        <w:t>Зелепукин</w:t>
      </w:r>
      <w:proofErr w:type="spellEnd"/>
    </w:p>
    <w:p w:rsidR="006D0C3D" w:rsidRDefault="006D0C3D" w:rsidP="006D0C3D">
      <w:pPr>
        <w:spacing w:line="360" w:lineRule="auto"/>
        <w:ind w:left="284" w:right="709" w:firstLine="0"/>
        <w:contextualSpacing/>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spacing w:line="360" w:lineRule="exact"/>
        <w:ind w:left="284" w:firstLine="0"/>
        <w:rPr>
          <w:rFonts w:ascii="Times New Roman" w:hAnsi="Times New Roman" w:cs="Arial"/>
          <w:iCs/>
          <w:sz w:val="28"/>
          <w:szCs w:val="28"/>
        </w:rPr>
      </w:pPr>
    </w:p>
    <w:p w:rsidR="006D0C3D" w:rsidRDefault="006D0C3D" w:rsidP="006D0C3D">
      <w:pPr>
        <w:ind w:left="284" w:firstLine="0"/>
        <w:contextualSpacing/>
        <w:rPr>
          <w:rFonts w:ascii="Times New Roman" w:hAnsi="Times New Roman" w:cs="Arial"/>
          <w:iCs/>
          <w:sz w:val="22"/>
          <w:szCs w:val="22"/>
        </w:rPr>
      </w:pPr>
      <w:r>
        <w:rPr>
          <w:rFonts w:ascii="Times New Roman" w:hAnsi="Times New Roman" w:cs="Arial"/>
          <w:iCs/>
          <w:sz w:val="22"/>
          <w:szCs w:val="22"/>
        </w:rPr>
        <w:t>Семина Л.С.</w:t>
      </w:r>
    </w:p>
    <w:p w:rsidR="006D0C3D" w:rsidRDefault="006D0C3D" w:rsidP="006D0C3D">
      <w:pPr>
        <w:ind w:left="284" w:firstLine="0"/>
        <w:contextualSpacing/>
        <w:rPr>
          <w:rFonts w:ascii="Times New Roman" w:hAnsi="Times New Roman" w:cs="Arial"/>
          <w:iCs/>
          <w:sz w:val="22"/>
          <w:szCs w:val="22"/>
        </w:rPr>
      </w:pPr>
      <w:r>
        <w:rPr>
          <w:rFonts w:ascii="Times New Roman" w:hAnsi="Times New Roman" w:cs="Arial"/>
          <w:iCs/>
          <w:sz w:val="22"/>
          <w:szCs w:val="22"/>
        </w:rPr>
        <w:t>(499) 124-27-81</w:t>
      </w:r>
    </w:p>
    <w:p w:rsidR="005017E6" w:rsidRPr="006D0C3D" w:rsidRDefault="005017E6" w:rsidP="006D0C3D"/>
    <w:sectPr w:rsidR="005017E6" w:rsidRPr="006D0C3D"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6D0C3D"/>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D0C3D"/>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6D0C3D"/>
    <w:pPr>
      <w:jc w:val="center"/>
      <w:outlineLvl w:val="0"/>
    </w:pPr>
    <w:rPr>
      <w:rFonts w:cs="Arial"/>
      <w:b/>
      <w:bCs/>
      <w:kern w:val="32"/>
      <w:sz w:val="32"/>
      <w:szCs w:val="32"/>
    </w:rPr>
  </w:style>
  <w:style w:type="paragraph" w:styleId="2">
    <w:name w:val="heading 2"/>
    <w:aliases w:val="!Разделы документа"/>
    <w:basedOn w:val="a"/>
    <w:link w:val="20"/>
    <w:qFormat/>
    <w:rsid w:val="006D0C3D"/>
    <w:pPr>
      <w:jc w:val="center"/>
      <w:outlineLvl w:val="1"/>
    </w:pPr>
    <w:rPr>
      <w:rFonts w:cs="Arial"/>
      <w:b/>
      <w:bCs/>
      <w:iCs/>
      <w:sz w:val="30"/>
      <w:szCs w:val="28"/>
    </w:rPr>
  </w:style>
  <w:style w:type="paragraph" w:styleId="3">
    <w:name w:val="heading 3"/>
    <w:aliases w:val="!Главы документа"/>
    <w:basedOn w:val="a"/>
    <w:link w:val="30"/>
    <w:qFormat/>
    <w:rsid w:val="006D0C3D"/>
    <w:pPr>
      <w:outlineLvl w:val="2"/>
    </w:pPr>
    <w:rPr>
      <w:rFonts w:cs="Arial"/>
      <w:b/>
      <w:bCs/>
      <w:sz w:val="28"/>
      <w:szCs w:val="26"/>
    </w:rPr>
  </w:style>
  <w:style w:type="paragraph" w:styleId="4">
    <w:name w:val="heading 4"/>
    <w:aliases w:val="!Параграфы/Статьи документа"/>
    <w:basedOn w:val="a"/>
    <w:link w:val="40"/>
    <w:qFormat/>
    <w:rsid w:val="006D0C3D"/>
    <w:pPr>
      <w:outlineLvl w:val="3"/>
    </w:pPr>
    <w:rPr>
      <w:b/>
      <w:bCs/>
      <w:sz w:val="26"/>
      <w:szCs w:val="28"/>
    </w:rPr>
  </w:style>
  <w:style w:type="character" w:default="1" w:styleId="a0">
    <w:name w:val="Default Paragraph Font"/>
    <w:semiHidden/>
    <w:rsid w:val="006D0C3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D0C3D"/>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6D0C3D"/>
    <w:rPr>
      <w:rFonts w:ascii="Arial" w:eastAsia="Times New Roman" w:hAnsi="Arial" w:cs="Arial"/>
      <w:b/>
      <w:bCs/>
      <w:kern w:val="32"/>
      <w:sz w:val="32"/>
      <w:szCs w:val="32"/>
    </w:rPr>
  </w:style>
  <w:style w:type="character" w:customStyle="1" w:styleId="20">
    <w:name w:val="Заголовок 2 Знак"/>
    <w:basedOn w:val="a0"/>
    <w:link w:val="2"/>
    <w:rsid w:val="006D0C3D"/>
    <w:rPr>
      <w:rFonts w:ascii="Arial" w:eastAsia="Times New Roman" w:hAnsi="Arial" w:cs="Arial"/>
      <w:b/>
      <w:bCs/>
      <w:iCs/>
      <w:sz w:val="30"/>
      <w:szCs w:val="28"/>
    </w:rPr>
  </w:style>
  <w:style w:type="character" w:customStyle="1" w:styleId="30">
    <w:name w:val="Заголовок 3 Знак"/>
    <w:basedOn w:val="a0"/>
    <w:link w:val="3"/>
    <w:rsid w:val="006D0C3D"/>
    <w:rPr>
      <w:rFonts w:ascii="Arial" w:eastAsia="Times New Roman" w:hAnsi="Arial" w:cs="Arial"/>
      <w:b/>
      <w:bCs/>
      <w:sz w:val="28"/>
      <w:szCs w:val="26"/>
    </w:rPr>
  </w:style>
  <w:style w:type="character" w:customStyle="1" w:styleId="40">
    <w:name w:val="Заголовок 4 Знак"/>
    <w:basedOn w:val="a0"/>
    <w:link w:val="4"/>
    <w:rsid w:val="006D0C3D"/>
    <w:rPr>
      <w:rFonts w:ascii="Arial" w:eastAsia="Times New Roman" w:hAnsi="Arial"/>
      <w:b/>
      <w:bCs/>
      <w:sz w:val="26"/>
      <w:szCs w:val="28"/>
    </w:rPr>
  </w:style>
  <w:style w:type="character" w:styleId="HTML">
    <w:name w:val="HTML Variable"/>
    <w:aliases w:val="!Ссылки в документе"/>
    <w:basedOn w:val="a0"/>
    <w:rsid w:val="006D0C3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D0C3D"/>
    <w:rPr>
      <w:rFonts w:ascii="Courier" w:hAnsi="Courier"/>
      <w:sz w:val="22"/>
      <w:szCs w:val="20"/>
    </w:rPr>
  </w:style>
  <w:style w:type="character" w:customStyle="1" w:styleId="a4">
    <w:name w:val="Текст примечания Знак"/>
    <w:basedOn w:val="a0"/>
    <w:link w:val="a3"/>
    <w:semiHidden/>
    <w:rsid w:val="006D0C3D"/>
    <w:rPr>
      <w:rFonts w:ascii="Courier" w:eastAsia="Times New Roman" w:hAnsi="Courier"/>
      <w:sz w:val="22"/>
    </w:rPr>
  </w:style>
  <w:style w:type="paragraph" w:customStyle="1" w:styleId="Title">
    <w:name w:val="Title!Название НПА"/>
    <w:basedOn w:val="a"/>
    <w:rsid w:val="006D0C3D"/>
    <w:pPr>
      <w:spacing w:before="240" w:after="60"/>
      <w:jc w:val="center"/>
      <w:outlineLvl w:val="0"/>
    </w:pPr>
    <w:rPr>
      <w:rFonts w:cs="Arial"/>
      <w:b/>
      <w:bCs/>
      <w:kern w:val="28"/>
      <w:sz w:val="32"/>
      <w:szCs w:val="32"/>
    </w:rPr>
  </w:style>
  <w:style w:type="character" w:styleId="a5">
    <w:name w:val="Hyperlink"/>
    <w:basedOn w:val="a0"/>
    <w:rsid w:val="006D0C3D"/>
    <w:rPr>
      <w:color w:val="0000FF"/>
      <w:u w:val="none"/>
    </w:rPr>
  </w:style>
  <w:style w:type="paragraph" w:customStyle="1" w:styleId="Application">
    <w:name w:val="Application!Приложение"/>
    <w:rsid w:val="006D0C3D"/>
    <w:pPr>
      <w:spacing w:before="120" w:after="120"/>
      <w:jc w:val="right"/>
    </w:pPr>
    <w:rPr>
      <w:rFonts w:ascii="Arial" w:eastAsia="Times New Roman" w:hAnsi="Arial" w:cs="Arial"/>
      <w:b/>
      <w:bCs/>
      <w:kern w:val="28"/>
      <w:sz w:val="32"/>
      <w:szCs w:val="32"/>
    </w:rPr>
  </w:style>
  <w:style w:type="paragraph" w:customStyle="1" w:styleId="Table">
    <w:name w:val="Table!Таблица"/>
    <w:rsid w:val="006D0C3D"/>
    <w:rPr>
      <w:rFonts w:ascii="Arial" w:eastAsia="Times New Roman" w:hAnsi="Arial" w:cs="Arial"/>
      <w:bCs/>
      <w:kern w:val="28"/>
      <w:sz w:val="24"/>
      <w:szCs w:val="32"/>
    </w:rPr>
  </w:style>
  <w:style w:type="paragraph" w:customStyle="1" w:styleId="Table0">
    <w:name w:val="Table!"/>
    <w:next w:val="Table"/>
    <w:rsid w:val="006D0C3D"/>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D0C3D"/>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6D0C3D"/>
    <w:rPr>
      <w:sz w:val="28"/>
    </w:rPr>
  </w:style>
  <w:style w:type="paragraph" w:customStyle="1" w:styleId="ConsPlusNormal">
    <w:name w:val="ConsPlusNormal"/>
    <w:rsid w:val="006D0C3D"/>
    <w:pPr>
      <w:autoSpaceDE w:val="0"/>
      <w:autoSpaceDN w:val="0"/>
      <w:adjustRightInd w:val="0"/>
      <w:ind w:firstLine="72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F6F1F-A81A-4105-87C2-8C9B55F7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8</Pages>
  <Words>1268</Words>
  <Characters>9777</Characters>
  <Application>Microsoft Office Word</Application>
  <DocSecurity>0</DocSecurity>
  <Lines>168</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Семина Людмила Сергеевна</dc:creator>
  <cp:keywords/>
  <cp:lastModifiedBy>Семина Людмила Сергеевна</cp:lastModifiedBy>
  <cp:revision>1</cp:revision>
  <dcterms:created xsi:type="dcterms:W3CDTF">2020-12-02T07:23:00Z</dcterms:created>
  <dcterms:modified xsi:type="dcterms:W3CDTF">2020-12-02T07:23:00Z</dcterms:modified>
</cp:coreProperties>
</file>