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80" w:rsidRPr="00171416" w:rsidRDefault="00504E98" w:rsidP="00171416">
      <w:pPr>
        <w:pStyle w:val="a3"/>
        <w:rPr>
          <w:rFonts w:ascii="Courier New" w:hAnsi="Courier New" w:cs="Courier New"/>
        </w:rPr>
      </w:pPr>
      <w:r w:rsidRPr="00171416">
        <w:rPr>
          <w:rFonts w:ascii="Courier New" w:hAnsi="Courier New" w:cs="Courier New"/>
        </w:rPr>
        <w:pgNum/>
      </w:r>
    </w:p>
    <w:tbl>
      <w:tblPr>
        <w:tblW w:w="1019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283"/>
        <w:gridCol w:w="1843"/>
        <w:gridCol w:w="1559"/>
        <w:gridCol w:w="4386"/>
      </w:tblGrid>
      <w:tr w:rsidR="00883C80" w:rsidRPr="00883C80" w:rsidTr="00901FCA">
        <w:trPr>
          <w:cantSplit/>
          <w:trHeight w:val="2700"/>
        </w:trPr>
        <w:tc>
          <w:tcPr>
            <w:tcW w:w="4253" w:type="dxa"/>
            <w:gridSpan w:val="4"/>
          </w:tcPr>
          <w:p w:rsidR="00883C80" w:rsidRPr="00883C80" w:rsidRDefault="00EB4DA1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81.1pt;margin-top:4.5pt;width:53.3pt;height:62.35pt;z-index:251659264" o:preferrelative="f">
                  <v:imagedata r:id="rId5" o:title=""/>
                  <o:lock v:ext="edit" aspectratio="f"/>
                </v:shape>
                <o:OLEObject Type="Embed" ProgID="Photoshop.Image.12" ShapeID="_x0000_s1026" DrawAspect="Content" ObjectID="_1522758835" r:id="rId6">
                  <o:FieldCodes>\s</o:FieldCodes>
                </o:OLEObject>
              </w:pict>
            </w:r>
            <w:bookmarkEnd w:id="0"/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b/>
                <w:sz w:val="8"/>
                <w:szCs w:val="8"/>
              </w:rPr>
            </w:pPr>
          </w:p>
          <w:p w:rsidR="00883C80" w:rsidRPr="00883C80" w:rsidRDefault="00883C80" w:rsidP="00883C80">
            <w:pPr>
              <w:ind w:firstLine="0"/>
              <w:jc w:val="left"/>
              <w:rPr>
                <w:rFonts w:ascii="Times New Roman" w:hAnsi="Times New Roman"/>
                <w:sz w:val="40"/>
                <w:szCs w:val="40"/>
              </w:rPr>
            </w:pPr>
          </w:p>
          <w:p w:rsidR="00883C80" w:rsidRPr="00883C80" w:rsidRDefault="00883C80" w:rsidP="00883C80">
            <w:pPr>
              <w:keepNext/>
              <w:ind w:firstLine="0"/>
              <w:jc w:val="center"/>
              <w:outlineLvl w:val="0"/>
              <w:rPr>
                <w:rFonts w:ascii="Times New Roman" w:hAnsi="Times New Roman"/>
                <w:b/>
              </w:rPr>
            </w:pPr>
          </w:p>
          <w:p w:rsidR="00883C80" w:rsidRPr="00883C80" w:rsidRDefault="00883C80" w:rsidP="00883C80">
            <w:pPr>
              <w:keepNext/>
              <w:ind w:firstLine="0"/>
              <w:jc w:val="center"/>
              <w:outlineLvl w:val="0"/>
              <w:rPr>
                <w:rFonts w:ascii="Times New Roman" w:hAnsi="Times New Roman"/>
                <w:b/>
              </w:rPr>
            </w:pPr>
            <w:r w:rsidRPr="00883C80">
              <w:rPr>
                <w:rFonts w:ascii="Times New Roman" w:hAnsi="Times New Roman"/>
                <w:b/>
              </w:rPr>
              <w:t>МИНИСТЕРСТВО ЮСТИЦИИ</w:t>
            </w:r>
            <w:r w:rsidRPr="00883C80">
              <w:rPr>
                <w:rFonts w:ascii="Times New Roman" w:hAnsi="Times New Roman"/>
                <w:b/>
              </w:rPr>
              <w:br/>
              <w:t>РОССИЙСКОЙ ФЕДЕРАЦИИ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b/>
                <w:sz w:val="28"/>
                <w:szCs w:val="28"/>
              </w:rPr>
              <w:t>(МИНЮСТ РОССИИ)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>ГЛАВНОЕ УПРАВЛЕНИЕ МИНИСТЕРСТВА ЮСТИЦИИ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>РОССИЙСКОЙ ФЕДЕРАЦИИ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>ПО РЕСПУБЛИКЕ КРЫМ И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>СЕВАСТОПОЛЮ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3C80">
              <w:rPr>
                <w:rFonts w:ascii="Times New Roman" w:hAnsi="Times New Roman"/>
                <w:sz w:val="20"/>
                <w:szCs w:val="20"/>
              </w:rPr>
              <w:t>Долгоруковская ул., д. 16, Симферополь, 295006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3C80">
              <w:rPr>
                <w:rFonts w:ascii="Times New Roman" w:hAnsi="Times New Roman"/>
                <w:sz w:val="20"/>
                <w:szCs w:val="20"/>
              </w:rPr>
              <w:t>тел. +38</w:t>
            </w:r>
            <w:r w:rsidRPr="00883C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883C80">
              <w:rPr>
                <w:rFonts w:ascii="Times New Roman" w:hAnsi="Times New Roman"/>
                <w:sz w:val="20"/>
                <w:szCs w:val="20"/>
              </w:rPr>
              <w:t>(06 52) 25-61-22,</w:t>
            </w:r>
            <w:r w:rsidRPr="00883C80">
              <w:rPr>
                <w:rFonts w:ascii="Times New Roman" w:hAnsi="Times New Roman"/>
                <w:sz w:val="20"/>
                <w:szCs w:val="20"/>
                <w:lang w:val="uk-UA"/>
              </w:rPr>
              <w:br/>
            </w:r>
            <w:r w:rsidRPr="00883C80">
              <w:rPr>
                <w:rFonts w:ascii="Times New Roman" w:hAnsi="Times New Roman"/>
                <w:sz w:val="20"/>
                <w:szCs w:val="20"/>
              </w:rPr>
              <w:t>факс +38</w:t>
            </w:r>
            <w:r w:rsidRPr="00883C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883C80">
              <w:rPr>
                <w:rFonts w:ascii="Times New Roman" w:hAnsi="Times New Roman"/>
                <w:sz w:val="20"/>
                <w:szCs w:val="20"/>
              </w:rPr>
              <w:t>(06 52) 54-63-05</w:t>
            </w: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18"/>
                <w:szCs w:val="28"/>
              </w:rPr>
            </w:pPr>
            <w:r w:rsidRPr="00883C80">
              <w:rPr>
                <w:rFonts w:ascii="Times New Roman" w:hAnsi="Times New Roman"/>
                <w:sz w:val="20"/>
                <w:szCs w:val="20"/>
                <w:lang w:val="en-US"/>
              </w:rPr>
              <w:t>Email</w:t>
            </w:r>
            <w:r w:rsidRPr="00883C80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883C80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r w:rsidRPr="00883C80">
              <w:rPr>
                <w:rFonts w:ascii="Times New Roman" w:hAnsi="Times New Roman"/>
                <w:sz w:val="20"/>
                <w:szCs w:val="20"/>
              </w:rPr>
              <w:t>92@</w:t>
            </w:r>
            <w:r w:rsidRPr="00883C80">
              <w:rPr>
                <w:rFonts w:ascii="Times New Roman" w:hAnsi="Times New Roman"/>
                <w:sz w:val="20"/>
                <w:szCs w:val="20"/>
                <w:lang w:val="en-US"/>
              </w:rPr>
              <w:t>minjust</w:t>
            </w:r>
            <w:r w:rsidRPr="00883C80">
              <w:rPr>
                <w:rFonts w:ascii="Times New Roman" w:hAnsi="Times New Roman"/>
                <w:sz w:val="20"/>
                <w:szCs w:val="20"/>
              </w:rPr>
              <w:t>.</w:t>
            </w:r>
            <w:r w:rsidRPr="00883C80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  <w:tc>
          <w:tcPr>
            <w:tcW w:w="1559" w:type="dxa"/>
            <w:vMerge w:val="restart"/>
          </w:tcPr>
          <w:p w:rsidR="00883C80" w:rsidRPr="00883C80" w:rsidRDefault="00883C80" w:rsidP="00883C80">
            <w:pPr>
              <w:spacing w:before="60"/>
              <w:ind w:left="701" w:firstLine="0"/>
              <w:jc w:val="center"/>
              <w:rPr>
                <w:rFonts w:ascii="Times New Roman" w:hAnsi="Times New Roman"/>
                <w:vanish/>
                <w:sz w:val="28"/>
                <w:szCs w:val="28"/>
              </w:rPr>
            </w:pPr>
          </w:p>
        </w:tc>
        <w:tc>
          <w:tcPr>
            <w:tcW w:w="4386" w:type="dxa"/>
            <w:vMerge w:val="restart"/>
          </w:tcPr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 xml:space="preserve">Председателю </w:t>
            </w:r>
          </w:p>
          <w:p w:rsidR="00883C80" w:rsidRPr="00883C80" w:rsidRDefault="00883C80" w:rsidP="00883C80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>Государственного Совета Республики Крым</w:t>
            </w:r>
          </w:p>
          <w:p w:rsidR="00883C80" w:rsidRPr="00883C80" w:rsidRDefault="00883C80" w:rsidP="00883C80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3C80" w:rsidRPr="00883C80" w:rsidRDefault="00883C80" w:rsidP="00883C80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3C80">
              <w:rPr>
                <w:rFonts w:ascii="Times New Roman" w:hAnsi="Times New Roman"/>
                <w:sz w:val="28"/>
                <w:szCs w:val="28"/>
              </w:rPr>
              <w:t>В.А. Константинову</w:t>
            </w:r>
            <w:r w:rsidRPr="00883C80">
              <w:rPr>
                <w:rFonts w:ascii="Times New Roman" w:hAnsi="Times New Roman"/>
                <w:vanish/>
                <w:sz w:val="28"/>
                <w:szCs w:val="28"/>
              </w:rPr>
              <w:t xml:space="preserve"> </w:t>
            </w:r>
          </w:p>
          <w:p w:rsidR="00883C80" w:rsidRPr="00883C80" w:rsidRDefault="00883C80" w:rsidP="00883C80">
            <w:pPr>
              <w:spacing w:line="360" w:lineRule="exact"/>
              <w:ind w:firstLine="0"/>
              <w:jc w:val="center"/>
              <w:rPr>
                <w:rFonts w:ascii="Times New Roman" w:hAnsi="Times New Roman"/>
                <w:vanish/>
                <w:sz w:val="28"/>
                <w:szCs w:val="28"/>
              </w:rPr>
            </w:pPr>
          </w:p>
        </w:tc>
      </w:tr>
      <w:tr w:rsidR="00883C80" w:rsidRPr="00883C80" w:rsidTr="00901FCA">
        <w:trPr>
          <w:cantSplit/>
          <w:trHeight w:hRule="exact" w:val="460"/>
        </w:trPr>
        <w:tc>
          <w:tcPr>
            <w:tcW w:w="2127" w:type="dxa"/>
            <w:gridSpan w:val="2"/>
            <w:vAlign w:val="bottom"/>
          </w:tcPr>
          <w:p w:rsidR="00883C80" w:rsidRPr="00883C80" w:rsidRDefault="00883C80" w:rsidP="00883C80">
            <w:pPr>
              <w:spacing w:after="20"/>
              <w:ind w:firstLine="0"/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>___________________</w:t>
            </w:r>
          </w:p>
        </w:tc>
        <w:tc>
          <w:tcPr>
            <w:tcW w:w="283" w:type="dxa"/>
            <w:vAlign w:val="bottom"/>
          </w:tcPr>
          <w:p w:rsidR="00883C80" w:rsidRPr="00883C80" w:rsidRDefault="00883C80" w:rsidP="00883C80">
            <w:pPr>
              <w:spacing w:after="4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 xml:space="preserve">№     </w:t>
            </w:r>
          </w:p>
        </w:tc>
        <w:tc>
          <w:tcPr>
            <w:tcW w:w="1843" w:type="dxa"/>
            <w:vAlign w:val="bottom"/>
          </w:tcPr>
          <w:p w:rsidR="00883C80" w:rsidRPr="00883C80" w:rsidRDefault="00883C80" w:rsidP="00883C80">
            <w:pPr>
              <w:spacing w:after="2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>________________</w:t>
            </w:r>
          </w:p>
        </w:tc>
        <w:tc>
          <w:tcPr>
            <w:tcW w:w="1559" w:type="dxa"/>
            <w:vMerge/>
          </w:tcPr>
          <w:p w:rsidR="00883C80" w:rsidRPr="00883C80" w:rsidRDefault="00883C80" w:rsidP="00883C80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  <w:tc>
          <w:tcPr>
            <w:tcW w:w="4386" w:type="dxa"/>
            <w:vMerge/>
          </w:tcPr>
          <w:p w:rsidR="00883C80" w:rsidRPr="00883C80" w:rsidRDefault="00883C80" w:rsidP="00883C80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883C80" w:rsidRPr="00883C80" w:rsidTr="00901FCA">
        <w:trPr>
          <w:cantSplit/>
          <w:trHeight w:val="433"/>
        </w:trPr>
        <w:tc>
          <w:tcPr>
            <w:tcW w:w="567" w:type="dxa"/>
            <w:vAlign w:val="bottom"/>
          </w:tcPr>
          <w:p w:rsidR="00883C80" w:rsidRPr="00883C80" w:rsidRDefault="00883C80" w:rsidP="00883C80">
            <w:pPr>
              <w:spacing w:after="4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 xml:space="preserve">На №   </w:t>
            </w:r>
          </w:p>
        </w:tc>
        <w:tc>
          <w:tcPr>
            <w:tcW w:w="1560" w:type="dxa"/>
            <w:vAlign w:val="bottom"/>
          </w:tcPr>
          <w:p w:rsidR="00883C80" w:rsidRPr="00883C80" w:rsidRDefault="00883C80" w:rsidP="00883C80">
            <w:pPr>
              <w:spacing w:after="2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>______________</w:t>
            </w:r>
          </w:p>
        </w:tc>
        <w:tc>
          <w:tcPr>
            <w:tcW w:w="283" w:type="dxa"/>
            <w:vAlign w:val="bottom"/>
          </w:tcPr>
          <w:p w:rsidR="00883C80" w:rsidRPr="00883C80" w:rsidRDefault="00883C80" w:rsidP="00883C80">
            <w:pPr>
              <w:spacing w:after="4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 xml:space="preserve">от </w:t>
            </w:r>
          </w:p>
        </w:tc>
        <w:tc>
          <w:tcPr>
            <w:tcW w:w="1843" w:type="dxa"/>
            <w:vAlign w:val="bottom"/>
          </w:tcPr>
          <w:p w:rsidR="00883C80" w:rsidRPr="00883C80" w:rsidRDefault="00883C80" w:rsidP="00883C80">
            <w:pPr>
              <w:spacing w:after="2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883C80">
              <w:rPr>
                <w:rFonts w:ascii="Times New Roman" w:hAnsi="Times New Roman"/>
                <w:sz w:val="22"/>
                <w:szCs w:val="28"/>
              </w:rPr>
              <w:t>________________</w:t>
            </w:r>
          </w:p>
        </w:tc>
        <w:tc>
          <w:tcPr>
            <w:tcW w:w="1559" w:type="dxa"/>
            <w:vMerge/>
          </w:tcPr>
          <w:p w:rsidR="00883C80" w:rsidRPr="00883C80" w:rsidRDefault="00883C80" w:rsidP="00883C80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  <w:tc>
          <w:tcPr>
            <w:tcW w:w="4386" w:type="dxa"/>
            <w:vMerge/>
          </w:tcPr>
          <w:p w:rsidR="00883C80" w:rsidRPr="00883C80" w:rsidRDefault="00883C80" w:rsidP="00883C80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</w:tr>
    </w:tbl>
    <w:p w:rsidR="00883C80" w:rsidRPr="00883C80" w:rsidRDefault="00883C80" w:rsidP="00883C80">
      <w:pPr>
        <w:spacing w:line="360" w:lineRule="exact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83C80" w:rsidRPr="00883C80" w:rsidRDefault="00883C80" w:rsidP="00883C80">
      <w:pPr>
        <w:spacing w:line="360" w:lineRule="exact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83C80" w:rsidRPr="00883C80" w:rsidRDefault="00883C80" w:rsidP="00883C80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83C80" w:rsidRPr="00883C80" w:rsidRDefault="00883C80" w:rsidP="00883C80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83C80">
        <w:rPr>
          <w:rFonts w:ascii="Times New Roman" w:hAnsi="Times New Roman"/>
          <w:b/>
          <w:color w:val="000000"/>
          <w:sz w:val="28"/>
          <w:szCs w:val="28"/>
        </w:rPr>
        <w:t>ЭКСПЕРТНОЕ ЗАКЛЮЧЕНИЕ № ________  от  ________________</w:t>
      </w:r>
    </w:p>
    <w:p w:rsidR="00883C80" w:rsidRPr="00883C80" w:rsidRDefault="00883C80" w:rsidP="00883C80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83C80">
        <w:rPr>
          <w:rFonts w:ascii="Times New Roman" w:hAnsi="Times New Roman"/>
          <w:b/>
          <w:color w:val="000000"/>
          <w:sz w:val="28"/>
          <w:szCs w:val="28"/>
        </w:rPr>
        <w:t xml:space="preserve">по результатам проведения правовой экспертизы на Закон Республики </w:t>
      </w:r>
    </w:p>
    <w:p w:rsidR="00883C80" w:rsidRPr="00883C80" w:rsidRDefault="00883C80" w:rsidP="00883C80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83C80">
        <w:rPr>
          <w:rFonts w:ascii="Times New Roman" w:hAnsi="Times New Roman"/>
          <w:b/>
          <w:color w:val="000000"/>
          <w:sz w:val="28"/>
          <w:szCs w:val="28"/>
        </w:rPr>
        <w:t xml:space="preserve">Крым от 31 июля </w:t>
      </w:r>
      <w:r w:rsidRPr="00883C80">
        <w:rPr>
          <w:rFonts w:ascii="Times New Roman" w:hAnsi="Times New Roman"/>
          <w:b/>
          <w:color w:val="000000"/>
          <w:sz w:val="28"/>
          <w:szCs w:val="28"/>
          <w:lang w:val="x-none" w:eastAsia="x-none"/>
        </w:rPr>
        <w:t xml:space="preserve">2014 </w:t>
      </w:r>
      <w:r w:rsidRPr="00883C80">
        <w:rPr>
          <w:rFonts w:ascii="Times New Roman" w:hAnsi="Times New Roman"/>
          <w:b/>
          <w:color w:val="000000"/>
          <w:sz w:val="28"/>
          <w:szCs w:val="28"/>
          <w:lang w:eastAsia="x-none"/>
        </w:rPr>
        <w:t xml:space="preserve">года </w:t>
      </w:r>
      <w:r w:rsidRPr="00883C80">
        <w:rPr>
          <w:rFonts w:ascii="Times New Roman" w:hAnsi="Times New Roman"/>
          <w:b/>
          <w:color w:val="000000"/>
          <w:sz w:val="28"/>
          <w:szCs w:val="28"/>
          <w:lang w:val="x-none" w:eastAsia="x-none"/>
        </w:rPr>
        <w:t>№ 38-ЗРК «Об особенностях регулирования имущественных и земельных отношений на территории Республики Крым»</w:t>
      </w:r>
      <w:r w:rsidR="005901A2" w:rsidRPr="00883C8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883C80">
        <w:rPr>
          <w:rFonts w:ascii="Times New Roman" w:hAnsi="Times New Roman"/>
          <w:b/>
          <w:color w:val="000000"/>
          <w:sz w:val="28"/>
          <w:szCs w:val="28"/>
        </w:rPr>
        <w:t>(в редакции Законов Республики Крым от 15 сентября 2014 года № 69-ЗРК,</w:t>
      </w:r>
      <w:r w:rsidR="005901A2" w:rsidRPr="00883C8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883C80">
        <w:rPr>
          <w:rFonts w:ascii="Times New Roman" w:hAnsi="Times New Roman"/>
          <w:b/>
          <w:color w:val="000000"/>
          <w:sz w:val="28"/>
          <w:szCs w:val="28"/>
        </w:rPr>
        <w:t>от 10 декабря 2014 года № 19-ЗРК, от 19 января 2015 года № 72-ЗРК/2015, от 20 января 2015 года № 73-ЗРК/2015, от 30 ноября 2015 года № 169-ЗРК/2015)</w:t>
      </w:r>
      <w:r w:rsidR="005901A2" w:rsidRPr="00883C8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83C80" w:rsidRPr="00883C80" w:rsidRDefault="00883C80" w:rsidP="00883C80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 xml:space="preserve">Главным управлением Министерства юстиции Российской Федерации по Республике Крым и Севастополю (далее – Главное управление) на основании </w:t>
      </w:r>
      <w:hyperlink r:id="rId7" w:tgtFrame="_self" w:history="1">
        <w:r w:rsidRPr="00883C80">
          <w:rPr>
            <w:rFonts w:ascii="Times New Roman" w:hAnsi="Times New Roman"/>
            <w:color w:val="000000"/>
            <w:sz w:val="28"/>
            <w:szCs w:val="28"/>
          </w:rPr>
          <w:t>Положения</w:t>
        </w:r>
      </w:hyperlink>
      <w:r w:rsidRPr="00883C80">
        <w:rPr>
          <w:rFonts w:ascii="Times New Roman" w:hAnsi="Times New Roman"/>
          <w:color w:val="000000"/>
          <w:sz w:val="28"/>
          <w:szCs w:val="28"/>
        </w:rPr>
        <w:t xml:space="preserve">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</w:t>
      </w:r>
      <w:hyperlink r:id="rId8" w:tgtFrame="_self" w:history="1">
        <w:r w:rsidRPr="00883C80">
          <w:rPr>
            <w:rFonts w:ascii="Times New Roman" w:hAnsi="Times New Roman"/>
            <w:color w:val="000000"/>
            <w:sz w:val="28"/>
            <w:szCs w:val="28"/>
          </w:rPr>
          <w:t>Положени</w:t>
        </w:r>
      </w:hyperlink>
      <w:r w:rsidRPr="00883C80">
        <w:rPr>
          <w:rFonts w:ascii="Times New Roman" w:hAnsi="Times New Roman"/>
          <w:color w:val="000000"/>
          <w:sz w:val="28"/>
          <w:szCs w:val="28"/>
        </w:rPr>
        <w:t>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</w:t>
      </w:r>
      <w:r w:rsidRPr="00883C80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 w:rsidRPr="00883C80">
        <w:rPr>
          <w:rFonts w:ascii="Times New Roman" w:hAnsi="Times New Roman"/>
          <w:color w:val="000000"/>
          <w:sz w:val="28"/>
          <w:szCs w:val="28"/>
        </w:rPr>
        <w:t xml:space="preserve">проведены </w:t>
      </w:r>
      <w:r w:rsidRPr="00883C80">
        <w:rPr>
          <w:rFonts w:ascii="Times New Roman" w:hAnsi="Times New Roman"/>
          <w:color w:val="000000"/>
          <w:sz w:val="28"/>
          <w:szCs w:val="28"/>
        </w:rPr>
        <w:lastRenderedPageBreak/>
        <w:t xml:space="preserve">правовая и антикоррупционная экспертизы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Закона Республики Крым от 31 июля 2014 года 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              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№ 38-ЗРК «Об особенностях регулирования имущественных и земельных отношений на территории Республики Крым»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(в редакции Законов Республики Крым от 15 сентября 2014 года № 69-ЗРК,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от 10 декабря 2014 года № 19-ЗРК, от 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               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19 января 2015 года № 72-ЗРК/2015, от 20 января 2015 года № 73-ЗРК/2015, от 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                     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30 ноября 2015 года № 169-ЗРК/2015)</w:t>
      </w:r>
      <w:r w:rsidRPr="00883C80">
        <w:rPr>
          <w:rFonts w:ascii="Times New Roman" w:hAnsi="Times New Roman"/>
          <w:color w:val="000000"/>
          <w:sz w:val="28"/>
          <w:szCs w:val="28"/>
        </w:rPr>
        <w:t xml:space="preserve"> (далее – Закон), на предмет соответствия действующему законодательству и выявления коррупциогенных факторов.</w:t>
      </w:r>
    </w:p>
    <w:p w:rsidR="00883C80" w:rsidRPr="00883C80" w:rsidRDefault="00883C80" w:rsidP="00883C80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 xml:space="preserve">Поводом для проведения правовой и антикоррупционной экспертиз является внесение изменений в Закон на основании Закона Республики Крым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от 30 ноября 2015 года № 169-ЗРК/2015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«О внесении изменений в Закон Республики Крым «Об особенностях регулирования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имущественных и земельных отношений на территории Республики Крым»</w:t>
      </w:r>
      <w:r w:rsidRPr="00883C80">
        <w:rPr>
          <w:rFonts w:ascii="Times New Roman" w:hAnsi="Times New Roman"/>
          <w:color w:val="000000"/>
          <w:sz w:val="28"/>
          <w:szCs w:val="28"/>
        </w:rPr>
        <w:t>.</w:t>
      </w:r>
    </w:p>
    <w:p w:rsidR="00883C80" w:rsidRPr="00883C80" w:rsidRDefault="00883C80" w:rsidP="00883C80">
      <w:pPr>
        <w:spacing w:line="360" w:lineRule="exact"/>
        <w:ind w:firstLine="720"/>
        <w:rPr>
          <w:rFonts w:ascii="Times New Roman" w:hAnsi="Times New Roman"/>
          <w:color w:val="000000"/>
          <w:sz w:val="28"/>
          <w:szCs w:val="28"/>
          <w:lang w:val="x-none" w:eastAsia="x-none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 xml:space="preserve">Предметом правового регулирования Закона являются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имущественные и земельные отношения на территории Республики Крым, особенности их регулирования, а также отношения в сфере государственного кадастрового учета недвижимости и государственной регистрации прав на недвижимое имущество и сделок с ним на территории Республики Крым.</w:t>
      </w:r>
    </w:p>
    <w:p w:rsidR="00883C80" w:rsidRPr="00883C80" w:rsidRDefault="00883C80" w:rsidP="00883C80">
      <w:pPr>
        <w:spacing w:line="360" w:lineRule="exact"/>
        <w:ind w:firstLine="720"/>
        <w:rPr>
          <w:rFonts w:ascii="Times New Roman" w:hAnsi="Times New Roman"/>
          <w:color w:val="000000"/>
          <w:spacing w:val="2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>Закон проверен на соответствие Конституции</w:t>
      </w: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 xml:space="preserve"> Российской Федерации,</w:t>
      </w:r>
      <w:r w:rsidRPr="00883C8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3C80">
        <w:rPr>
          <w:rFonts w:ascii="Times New Roman" w:hAnsi="Times New Roman"/>
          <w:bCs/>
          <w:color w:val="000000"/>
          <w:sz w:val="28"/>
          <w:szCs w:val="28"/>
        </w:rPr>
        <w:t xml:space="preserve">Федеральному конституционному закону от </w:t>
      </w: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 xml:space="preserve">21.03.2014 № 6-ФКЗ «О принятии в Российскую Федерацию Республики Крым и образовании в составе Российской Федерации новых субъектов – Республики Крым и города Федерального значения Севастополя», с изменениями, внесенными </w:t>
      </w:r>
      <w:r w:rsidRPr="00883C80">
        <w:rPr>
          <w:rFonts w:ascii="Times New Roman" w:hAnsi="Times New Roman"/>
          <w:bCs/>
          <w:color w:val="000000"/>
          <w:sz w:val="28"/>
          <w:szCs w:val="28"/>
        </w:rPr>
        <w:t xml:space="preserve">Федеральным конституционным законом от </w:t>
      </w: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>21.07.2014 № 12-ФКЗ «О внесении изменений в</w:t>
      </w:r>
      <w:r w:rsidRPr="00883C80">
        <w:rPr>
          <w:rFonts w:ascii="Times New Roman" w:hAnsi="Times New Roman"/>
          <w:bCs/>
          <w:color w:val="000000"/>
          <w:sz w:val="28"/>
          <w:szCs w:val="28"/>
        </w:rPr>
        <w:t xml:space="preserve"> Федеральный конституционный закон</w:t>
      </w: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 xml:space="preserve"> «О принятии в Российскую Федерацию Республики Крым и образовании в составе Российской Федерации новых субъектов – Республики Крым и города Федерального значения Севастополя» (далее</w:t>
      </w:r>
      <w:r w:rsidRPr="00883C80">
        <w:rPr>
          <w:rFonts w:ascii="Times New Roman" w:hAnsi="Times New Roman"/>
          <w:bCs/>
          <w:color w:val="000000"/>
          <w:sz w:val="28"/>
          <w:szCs w:val="28"/>
        </w:rPr>
        <w:t xml:space="preserve"> – Федеральный конституционный закон от </w:t>
      </w: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>21.07.2014 № 12-ФКЗ).</w:t>
      </w:r>
    </w:p>
    <w:p w:rsidR="00883C80" w:rsidRPr="00883C80" w:rsidRDefault="00883C80" w:rsidP="00883C80">
      <w:pPr>
        <w:spacing w:line="360" w:lineRule="exact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 xml:space="preserve">Согласно </w:t>
      </w:r>
      <w:r w:rsidRPr="00883C80">
        <w:rPr>
          <w:rFonts w:ascii="Times New Roman" w:hAnsi="Times New Roman"/>
          <w:bCs/>
          <w:color w:val="000000"/>
          <w:sz w:val="28"/>
          <w:szCs w:val="28"/>
        </w:rPr>
        <w:t xml:space="preserve">Федеральному конституционному закону от </w:t>
      </w:r>
      <w:r w:rsidRPr="00883C80">
        <w:rPr>
          <w:rFonts w:ascii="Times New Roman" w:hAnsi="Times New Roman"/>
          <w:color w:val="000000"/>
          <w:spacing w:val="2"/>
          <w:sz w:val="28"/>
          <w:szCs w:val="28"/>
        </w:rPr>
        <w:t>21.07.2014 № 12-ФКЗ д</w:t>
      </w:r>
      <w:r w:rsidRPr="00883C80">
        <w:rPr>
          <w:rFonts w:ascii="Times New Roman" w:hAnsi="Times New Roman"/>
          <w:color w:val="000000"/>
          <w:sz w:val="28"/>
          <w:szCs w:val="28"/>
        </w:rPr>
        <w:t xml:space="preserve">о 1 января 2017 года на территориях Республики Крым и города федерального значения Севастополя особенности регулирования имущественных, градостроительных, земельных и лесных отношений, а также отношений в сфере кадастрового учета недвижимости и государственной регистрации прав на недвижимое имущество и сделок с ним могут быть установлены нормативными правовыми актами Республики Крым и нормативными правовыми актами города федерального значения Севастополя по согласованию с федеральным органом исполнительной </w:t>
      </w:r>
      <w:r w:rsidRPr="00883C80">
        <w:rPr>
          <w:rFonts w:ascii="Times New Roman" w:hAnsi="Times New Roman"/>
          <w:color w:val="000000"/>
          <w:sz w:val="28"/>
          <w:szCs w:val="28"/>
        </w:rPr>
        <w:lastRenderedPageBreak/>
        <w:t>власти, уполномоченным на осуществление нормативно-правового регулирования в соответствующей сфере.</w:t>
      </w:r>
    </w:p>
    <w:p w:rsidR="00883C80" w:rsidRPr="00883C80" w:rsidRDefault="00883C80" w:rsidP="00883C80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 xml:space="preserve">С учетом вышеизложенного, Закон принят в пределах компетенции </w:t>
      </w:r>
      <w:r w:rsidRPr="00883C80">
        <w:rPr>
          <w:rFonts w:ascii="Times New Roman" w:hAnsi="Times New Roman"/>
          <w:iCs/>
          <w:color w:val="000000"/>
          <w:sz w:val="28"/>
          <w:szCs w:val="28"/>
        </w:rPr>
        <w:t>Государственного Совета Республики Крым</w:t>
      </w:r>
      <w:r w:rsidRPr="00883C80">
        <w:rPr>
          <w:rFonts w:ascii="Times New Roman" w:hAnsi="Times New Roman"/>
          <w:color w:val="000000"/>
          <w:sz w:val="28"/>
          <w:szCs w:val="28"/>
        </w:rPr>
        <w:t>.</w:t>
      </w:r>
    </w:p>
    <w:p w:rsidR="00883C80" w:rsidRPr="00883C80" w:rsidRDefault="00883C80" w:rsidP="00883C80">
      <w:pPr>
        <w:spacing w:line="360" w:lineRule="exact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>На момент проведения правовой экспертизы принятие Закона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 </w:t>
      </w:r>
      <w:r w:rsidRPr="00883C80">
        <w:rPr>
          <w:rFonts w:ascii="Times New Roman" w:hAnsi="Times New Roman"/>
          <w:color w:val="000000"/>
          <w:sz w:val="28"/>
          <w:szCs w:val="28"/>
        </w:rPr>
        <w:t>является необходимым и достаточным для урегулирования общественных отношений, являющихся предметом его издания.</w:t>
      </w:r>
    </w:p>
    <w:p w:rsidR="00883C80" w:rsidRPr="00883C80" w:rsidRDefault="00883C80" w:rsidP="00883C80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>Форма и текст Закона соответствуют правилам юридической техники.</w:t>
      </w:r>
    </w:p>
    <w:p w:rsidR="00883C80" w:rsidRPr="00883C80" w:rsidRDefault="00883C80" w:rsidP="00883C80">
      <w:pPr>
        <w:spacing w:line="360" w:lineRule="exact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83C80">
        <w:rPr>
          <w:rFonts w:ascii="Times New Roman" w:hAnsi="Times New Roman"/>
          <w:color w:val="000000"/>
          <w:sz w:val="28"/>
          <w:szCs w:val="28"/>
        </w:rPr>
        <w:t xml:space="preserve">Закон опубликован в газете «Крымские известия»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от 01.08.2014 № 153 (5564), от 18.09.2014 № 188 (5599), от 10.12.2014 № 242 (5653)</w:t>
      </w:r>
      <w:r w:rsidRPr="00883C80">
        <w:rPr>
          <w:rFonts w:ascii="Times New Roman" w:hAnsi="Times New Roman"/>
          <w:color w:val="000000"/>
          <w:sz w:val="28"/>
          <w:szCs w:val="28"/>
        </w:rPr>
        <w:t>, от 22.01.2015, от 05.12.2015 № 227 (5893).</w:t>
      </w:r>
    </w:p>
    <w:p w:rsidR="00883C80" w:rsidRPr="00883C80" w:rsidRDefault="00883C80" w:rsidP="00883C80">
      <w:pPr>
        <w:spacing w:line="360" w:lineRule="exact"/>
        <w:ind w:firstLine="708"/>
        <w:rPr>
          <w:rFonts w:ascii="Times New Roman" w:hAnsi="Times New Roman"/>
          <w:sz w:val="28"/>
          <w:szCs w:val="28"/>
        </w:rPr>
      </w:pPr>
      <w:r w:rsidRPr="00883C80">
        <w:rPr>
          <w:rFonts w:ascii="Times New Roman" w:hAnsi="Times New Roman"/>
          <w:sz w:val="28"/>
          <w:szCs w:val="28"/>
        </w:rPr>
        <w:t>В ходе проведения экспертизы выявлены следующие несоответствия федеральному законодательству.</w:t>
      </w:r>
    </w:p>
    <w:p w:rsidR="00883C80" w:rsidRPr="00883C80" w:rsidRDefault="00883C80" w:rsidP="00883C80">
      <w:pPr>
        <w:widowControl w:val="0"/>
        <w:tabs>
          <w:tab w:val="left" w:pos="1167"/>
        </w:tabs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Согласно части 2 статьи 2 Закона право собственности на земельные участки и иные объекты недвижимого имущества, возникшее до вступления в силу Федерального конституционного закона, на территории Республики Крым у физических и юридических лиц, включая иностранных граждан, лиц без гражданства и иностранных юридических лиц, сохраняется, за исключением случаев, предусмотренных Законом № </w:t>
      </w:r>
      <w:r w:rsidRPr="00883C80">
        <w:rPr>
          <w:rFonts w:ascii="Times New Roman" w:hAnsi="Times New Roman"/>
          <w:bCs/>
          <w:sz w:val="28"/>
          <w:szCs w:val="28"/>
          <w:lang w:bidi="en-US"/>
        </w:rPr>
        <w:t>38-3</w:t>
      </w:r>
      <w:r w:rsidRPr="00883C80">
        <w:rPr>
          <w:rFonts w:ascii="Times New Roman" w:hAnsi="Times New Roman"/>
          <w:bCs/>
          <w:sz w:val="28"/>
          <w:szCs w:val="28"/>
          <w:lang w:val="en-US" w:bidi="en-US"/>
        </w:rPr>
        <w:t>PK</w:t>
      </w:r>
      <w:r w:rsidRPr="00883C80">
        <w:rPr>
          <w:rFonts w:ascii="Times New Roman" w:hAnsi="Times New Roman"/>
          <w:bCs/>
          <w:sz w:val="28"/>
          <w:szCs w:val="28"/>
          <w:lang w:bidi="en-US"/>
        </w:rPr>
        <w:t xml:space="preserve"> </w:t>
      </w:r>
      <w:r w:rsidRPr="00883C80">
        <w:rPr>
          <w:rFonts w:ascii="Times New Roman" w:hAnsi="Times New Roman"/>
          <w:bCs/>
          <w:sz w:val="28"/>
          <w:szCs w:val="28"/>
        </w:rPr>
        <w:t>и иными нормативными правовыми актами Российской Федерации и Республики Крым.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Статьей 2-1 Закона</w:t>
      </w:r>
      <w:r w:rsidRPr="00883C80">
        <w:rPr>
          <w:rFonts w:ascii="Times New Roman" w:hAnsi="Times New Roman"/>
          <w:bCs/>
          <w:sz w:val="28"/>
          <w:szCs w:val="28"/>
          <w:lang w:bidi="en-US"/>
        </w:rPr>
        <w:t xml:space="preserve"> </w:t>
      </w:r>
      <w:r w:rsidRPr="00883C80">
        <w:rPr>
          <w:rFonts w:ascii="Times New Roman" w:hAnsi="Times New Roman"/>
          <w:bCs/>
          <w:sz w:val="28"/>
          <w:szCs w:val="28"/>
        </w:rPr>
        <w:t xml:space="preserve">определяется обращение в собственность Республики Крым имущества, находящегося в собственности Украины, а также профсоюзных и иных общественных организаций Украины. 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Вместе с тем согласно части 3 статьи 35 Конституции Российской Федерации никто не может быть лишен своего имущества иначе как по решению суда.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В соответствии со статьей 235 Гражданского кодекса Российской Федерации право собственности прекращается при отчуждении собственником своего имущества другим лицам, отказе собственника от права собственности, гибели или уничтожении имущества и при утрате права собственности на имущество в иных случаях, предусмотренных законом.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color w:val="0000FF"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Обращение в государственную собственность имущества, находящегося в собственности граждан и юридических лиц (национализация), производится на основании закона с возмещением стоимости этого имущества и других убытков в порядке, установленном статьей </w:t>
      </w:r>
      <w:r w:rsidRPr="00883C80">
        <w:rPr>
          <w:rFonts w:ascii="Times New Roman" w:hAnsi="Times New Roman"/>
          <w:bCs/>
          <w:color w:val="0000FF"/>
          <w:sz w:val="28"/>
          <w:szCs w:val="28"/>
        </w:rPr>
        <w:t xml:space="preserve">306 Гражданского кодекса Российской Федерации (абзац </w:t>
      </w:r>
      <w:r w:rsidRPr="00883C80">
        <w:rPr>
          <w:rFonts w:ascii="Times New Roman" w:hAnsi="Times New Roman"/>
          <w:bCs/>
          <w:color w:val="0000FF"/>
          <w:sz w:val="28"/>
          <w:szCs w:val="28"/>
        </w:rPr>
        <w:lastRenderedPageBreak/>
        <w:t>двенадцатый статьи 235 Гражданского кодекса Российской Федерации).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При этом в случае принятия Российской Федерацией закона, прекращающего право собственности, убытки, причиненные собственнику в результате принятия этого акта, в том числе стоимость имущества, возмещаются государством. Споры о возмещении убытков разрешаются судом (статья 306 Гражданского кодекса Российской Федерации).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Помимо этого, с точки зрения международно-правовых обязательств Российской Федерации изъятие имущества частных лиц (национализация или экспроприация) допускается при соблюдении ряда условий, включая выплату компенсации и не дискриминационный характер изъятия. </w:t>
      </w:r>
      <w:r w:rsidRPr="00883C80">
        <w:rPr>
          <w:rFonts w:ascii="Times New Roman" w:hAnsi="Times New Roman"/>
          <w:color w:val="000000"/>
          <w:sz w:val="28"/>
          <w:szCs w:val="28"/>
          <w:shd w:val="clear" w:color="auto" w:fill="FFFFFF"/>
          <w:lang w:bidi="ru-RU"/>
        </w:rPr>
        <w:t xml:space="preserve">Соответствующие </w:t>
      </w:r>
      <w:r w:rsidRPr="00883C80">
        <w:rPr>
          <w:rFonts w:ascii="Times New Roman" w:hAnsi="Times New Roman"/>
          <w:bCs/>
          <w:sz w:val="28"/>
          <w:szCs w:val="28"/>
        </w:rPr>
        <w:t>обязательства предусмотрены, в частности, в Конвенции о защите прав человека и основных свобод и в Соглашении о поощрении и взаимной защите инвестиций между Россией и Украиной.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2. Согласно абзацу третьему части 1 статьи 2-1 Закона право собственности на имущество, включая земельные участки и иные объекты недвижимости, прекращается у прежнего правообладателя и возникает у Республики Крым </w:t>
      </w:r>
      <w:r w:rsidRPr="00883C80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со дня включения такого имущества в Перечень имущества,</w:t>
      </w:r>
      <w:r w:rsidRPr="00883C80">
        <w:rPr>
          <w:rFonts w:ascii="Times New Roman" w:hAnsi="Times New Roman"/>
          <w:bCs/>
          <w:sz w:val="28"/>
          <w:szCs w:val="28"/>
        </w:rPr>
        <w:t xml:space="preserve"> учитываемого как собственность Республики Крым, утвержденный Постановлением Государственного Совета Республики Крым от 30 апреля 2014 года №2085-6/14 «О вопросах управления собственностью Республики Крым».</w:t>
      </w:r>
    </w:p>
    <w:p w:rsidR="00883C80" w:rsidRPr="00883C80" w:rsidRDefault="00883C80" w:rsidP="00883C80">
      <w:pPr>
        <w:widowControl w:val="0"/>
        <w:spacing w:line="360" w:lineRule="exact"/>
        <w:ind w:left="20" w:right="2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Вместе с тем данное положение не соотносится с пунктами 6 и 7 Постановления Государственного Совета Республики Крым от 17 марта 2014 года № 1745-6/14 «О независимости Крыма», вступившими в силу </w:t>
      </w:r>
      <w:r w:rsidRPr="00883C80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 xml:space="preserve">с 17 марта 2014 года, </w:t>
      </w:r>
      <w:r w:rsidRPr="00883C80">
        <w:rPr>
          <w:rFonts w:ascii="Times New Roman" w:hAnsi="Times New Roman"/>
          <w:bCs/>
          <w:sz w:val="28"/>
          <w:szCs w:val="28"/>
        </w:rPr>
        <w:t>согласно которым государственная собственность Украины, находящаяся</w:t>
      </w:r>
      <w:r w:rsidRPr="00883C80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883C80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на день принятия названного Постановления</w:t>
      </w:r>
      <w:r w:rsidRPr="00883C80">
        <w:rPr>
          <w:rFonts w:ascii="Times New Roman" w:hAnsi="Times New Roman"/>
          <w:bCs/>
          <w:sz w:val="28"/>
          <w:szCs w:val="28"/>
        </w:rPr>
        <w:t xml:space="preserve"> на территории Республики Крым, является государственной собственностью Республики Крым. Собственность профсоюзных и иных общественных организаций Украины, находящаяся на день принятия названного Постановления на территории Республики Крым, является собственностью подразделений соответствующих организаций, находящихся в Республике Крым, а если таковых не имеется - государственной собственностью Республики Крым.</w:t>
      </w:r>
    </w:p>
    <w:p w:rsidR="00883C80" w:rsidRPr="00883C80" w:rsidRDefault="00883C80" w:rsidP="00883C80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3. Согласно части 3 статьи 2-1 Закона государственная регистрация прав на земельные участки и иные объекты недвижимости, указанные в части 1 настоящей статьи, осуществляется на основании выписок из Реестра имущества, находящегося в собственности Республики Крым, ведение которого осуществляется в порядке, установленном Советом министров Республики Крым.</w:t>
      </w:r>
    </w:p>
    <w:p w:rsidR="00883C80" w:rsidRPr="00883C80" w:rsidRDefault="00883C80" w:rsidP="00883C80">
      <w:pPr>
        <w:widowControl w:val="0"/>
        <w:spacing w:line="360" w:lineRule="exact"/>
        <w:ind w:left="20" w:right="2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Вместе с тем часть 1 статьи 17 Федерального закона от 27 июля 1997 </w:t>
      </w:r>
      <w:r w:rsidRPr="00883C80">
        <w:rPr>
          <w:rFonts w:ascii="Times New Roman" w:hAnsi="Times New Roman"/>
          <w:bCs/>
          <w:sz w:val="28"/>
          <w:szCs w:val="28"/>
        </w:rPr>
        <w:lastRenderedPageBreak/>
        <w:t>года      № 122-ФЗ «О государственной регистрации прав на недвижимое имущество и сделок с ним» содержит перечень документов, являющихся основанием для государственной регистрации наличия, возникновения, прекращения, перехода, ограничения (обременения) прав на недвижимое имущество и сделок с ним.</w:t>
      </w:r>
    </w:p>
    <w:p w:rsidR="00883C80" w:rsidRPr="00883C80" w:rsidRDefault="00883C80" w:rsidP="00883C80">
      <w:pPr>
        <w:widowControl w:val="0"/>
        <w:spacing w:line="360" w:lineRule="exact"/>
        <w:ind w:left="20" w:right="2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Кроме того, согласно пункту 36 Постановления Пленума Верховного Суда Российской Федерации № 10, Пленума Высшего Арбитражного Суда Российской Федерации № 22 от 29 апреля 2010 года «О некоторых вопросах, возникающих в судебной практике при разрешении споров, связанных с защитой права собственности и других вещных прав» факт включения недвижимого имущества в реестр государственной или муниципальной собственности, а также факт нахождения имущества на балансе лица сами по себе не являются доказательствами права собственности или законного владения.</w:t>
      </w:r>
    </w:p>
    <w:p w:rsidR="00883C80" w:rsidRPr="00883C80" w:rsidRDefault="00883C80" w:rsidP="00883C80">
      <w:pPr>
        <w:widowControl w:val="0"/>
        <w:spacing w:line="360" w:lineRule="exact"/>
        <w:ind w:left="60" w:right="40" w:firstLine="72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В связи с этим полагаем, что выписка из Реестра имущества, находящегося в собственности Республики Крым не является достаточным документом для государственной регистрации прав на недвижимое имущество.</w:t>
      </w:r>
    </w:p>
    <w:p w:rsidR="00883C80" w:rsidRPr="00EB4DA1" w:rsidRDefault="00883C80" w:rsidP="00883C80">
      <w:pPr>
        <w:widowControl w:val="0"/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4. Согласно части 6 статьи 9 Закона, технические планы зданий, сооружений, объектов незавершенного строительства и помещений, указанных в части 1 статьи 2-1 настоящего Закона, могут быть подготовлены на основании деклараций о таких объектах недвижимости, составленных в соответствии с требованиями приказа Министерства экономического развития Российской Федерации от 13 декабря 2010 года № 628 «Об утверждении формы декларации об объекте недвижимости и требований к ее подготовке». При этом в реквизите «Правоустанавливающие, правоудостоверяющие документы на объект недвижимости (земельный участок, на котором расположено здание, </w:t>
      </w:r>
      <w:r w:rsidRPr="00EB4DA1">
        <w:rPr>
          <w:rFonts w:ascii="Times New Roman" w:hAnsi="Times New Roman"/>
          <w:bCs/>
          <w:sz w:val="28"/>
          <w:szCs w:val="28"/>
        </w:rPr>
        <w:t>сооружение, объект незавершенного строительства)» декларации указывается Постановление Государственного Совета Республики Крым от 17 марта 2014 года № 1745-6/14 «О независимости Крыма».</w:t>
      </w:r>
    </w:p>
    <w:p w:rsidR="00883C80" w:rsidRPr="00883C80" w:rsidRDefault="00883C80" w:rsidP="00883C80">
      <w:pPr>
        <w:widowControl w:val="0"/>
        <w:spacing w:line="360" w:lineRule="exact"/>
        <w:ind w:left="60" w:right="40" w:firstLine="720"/>
        <w:rPr>
          <w:rFonts w:ascii="Times New Roman" w:hAnsi="Times New Roman"/>
          <w:bCs/>
          <w:sz w:val="28"/>
          <w:szCs w:val="28"/>
        </w:rPr>
      </w:pPr>
      <w:r w:rsidRPr="00EB4DA1">
        <w:rPr>
          <w:rFonts w:ascii="Times New Roman" w:hAnsi="Times New Roman"/>
          <w:bCs/>
          <w:sz w:val="28"/>
          <w:szCs w:val="28"/>
        </w:rPr>
        <w:t>Требуется принять во внимание, что Постановление Государственного Совета Республики Крым от 17 марта 2014 года № 1745</w:t>
      </w:r>
      <w:r w:rsidRPr="00883C80">
        <w:rPr>
          <w:rFonts w:ascii="Times New Roman" w:hAnsi="Times New Roman"/>
          <w:bCs/>
          <w:sz w:val="28"/>
          <w:szCs w:val="28"/>
        </w:rPr>
        <w:t>-6/14 «О независимости Крыма» не может служить правоустанавливающим документом, поскольку не содержит сведений о праве собственности конкретных лиц на конкретные объекты.</w:t>
      </w:r>
    </w:p>
    <w:p w:rsidR="00883C80" w:rsidRPr="00883C80" w:rsidRDefault="00883C80" w:rsidP="00883C80">
      <w:pPr>
        <w:widowControl w:val="0"/>
        <w:spacing w:line="360" w:lineRule="exact"/>
        <w:ind w:left="60" w:right="40" w:firstLine="72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Также отмечаем, что согласно статье 17 Федерального конституционного закона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</w:t>
      </w:r>
      <w:r w:rsidRPr="00883C80">
        <w:rPr>
          <w:rFonts w:ascii="Times New Roman" w:hAnsi="Times New Roman"/>
          <w:bCs/>
          <w:sz w:val="28"/>
          <w:szCs w:val="28"/>
        </w:rPr>
        <w:lastRenderedPageBreak/>
        <w:t>Севастополя» на территориях Республики Крым и города федерального значения Севастополя действуют документы, в том числе подтверждающие право собственности, выданные государственными и иными официальными органами Украины, государственными и иными официальными органами Автономной Республики Крым, государственными и иными официальными органами города Севастополя, без ограничения срока их действия и какого-либо подтверждения со стороны государственных органов Российской Федерации, государственных органов Республики Крым или государственных органов города федерального значения Севастополя, если иное не предусмотрено статьей 12.2 указанного Федерального конституционного закона, а также если иное не вытекает из самих документов или существа отношения.</w:t>
      </w:r>
    </w:p>
    <w:p w:rsidR="00883C80" w:rsidRPr="00883C80" w:rsidRDefault="00883C80" w:rsidP="00883C80">
      <w:pPr>
        <w:widowControl w:val="0"/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5. Согласно пункту 1 статьи 12 Закона  до принятия правил землепользования и застройки, но не позднее 1 января 2016 года запрещается совершение сделок, направленных на отчуждение земельных участков, указанных в данной части.</w:t>
      </w:r>
    </w:p>
    <w:p w:rsidR="00883C80" w:rsidRPr="00883C80" w:rsidRDefault="00883C80" w:rsidP="00883C80">
      <w:pPr>
        <w:widowControl w:val="0"/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Вместе с тем статьей 129 Гражданского кодекса Российской Федерации установлено, что объекты гражданских прав могут свободно отчуждаться или переходить от одного лица к другому в порядке универсального правопреемства (наследование, реорганизация юридического лица) либо иным способом, если они не ограничены в обороте. Законом или в установленном законом порядке могут быть введены ограничения оборотоспособности объектов гражданских прав, в частности могут быть предусмотрены виды объектов гражданских прав, которые могут принадлежать лишь определенным участникам оборота либо совершение сделок с которыми допускается по специальному разрешению. Земля и другие природные ресурсы могут отчуждаться или переходить от одного лица к другому иными способами в той мере, в какой их оборот допускается законами о земле и других природных ресурсах.</w:t>
      </w:r>
    </w:p>
    <w:p w:rsidR="00883C80" w:rsidRPr="00883C80" w:rsidRDefault="00883C80" w:rsidP="00883C80">
      <w:pPr>
        <w:widowControl w:val="0"/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Кроме того, не ясно, что следует понимать под земельными участками, выделенными владельцам земельных долей (паев)</w:t>
      </w:r>
      <w:r w:rsidRPr="00883C80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883C80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в соответствии с законодательством Российской Федерации</w:t>
      </w:r>
      <w:r w:rsidRPr="00883C80">
        <w:rPr>
          <w:rFonts w:ascii="Times New Roman" w:hAnsi="Times New Roman"/>
          <w:bCs/>
          <w:sz w:val="28"/>
          <w:szCs w:val="28"/>
        </w:rPr>
        <w:t>.</w:t>
      </w:r>
    </w:p>
    <w:p w:rsidR="00883C80" w:rsidRPr="00883C80" w:rsidRDefault="00883C80" w:rsidP="00883C80">
      <w:pPr>
        <w:widowControl w:val="0"/>
        <w:tabs>
          <w:tab w:val="left" w:pos="1168"/>
        </w:tabs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6. Согласно пункту 1 статьи 12 Закона предусмотрены исключения из правил, о запрете на совершение, указанных в данной статье сделок до принятия правил землепользования и застройки, но не позднее 1 января 2016 года.</w:t>
      </w:r>
    </w:p>
    <w:p w:rsidR="00883C80" w:rsidRPr="00883C80" w:rsidRDefault="00883C80" w:rsidP="00883C80">
      <w:pPr>
        <w:widowControl w:val="0"/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В частности, абзацем седьмым подпункта 2 пункта 1 статьи 12 Закона устанавливается исключение для случаев отчуждения собственниками земельных участков, выделенных в натуре владельцам земельных долей (паев), и их перевод из одной категории в другую для размещения на них </w:t>
      </w:r>
      <w:r w:rsidRPr="00883C80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lastRenderedPageBreak/>
        <w:t>значимых</w:t>
      </w:r>
      <w:r w:rsidRPr="00883C80">
        <w:rPr>
          <w:rFonts w:ascii="Times New Roman" w:hAnsi="Times New Roman"/>
          <w:bCs/>
          <w:sz w:val="28"/>
          <w:szCs w:val="28"/>
        </w:rPr>
        <w:t xml:space="preserve"> для Республики Крым объектов и объектов, связанных с использованием недр, определенных Советом министров Республики Крым.</w:t>
      </w:r>
    </w:p>
    <w:p w:rsidR="00883C80" w:rsidRPr="00883C80" w:rsidRDefault="00883C80" w:rsidP="00883C80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Отмечаем, что категория «значимый» имеет субъективно-оценочный характер. </w:t>
      </w:r>
    </w:p>
    <w:p w:rsidR="00883C80" w:rsidRPr="00883C80" w:rsidRDefault="00883C80" w:rsidP="00883C80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г. № 96 «Об антикоррупционной экспертизе нормативных правовых актов и проектов нормативных правовых актов» употребление неустоявшихся, двусмысленных терминов и категорий оценочного характера </w:t>
      </w:r>
      <w:r w:rsidRPr="00883C80">
        <w:rPr>
          <w:rFonts w:ascii="Times New Roman" w:hAnsi="Times New Roman"/>
          <w:bCs/>
          <w:sz w:val="28"/>
          <w:szCs w:val="28"/>
        </w:rPr>
        <w:tab/>
        <w:t>(юридико - лингвистическая неопределенность) является коррупциогенным фактором, содержащим неопределенные, трудновыполнимые и (или) обременительные требования к гражданам и организациям.</w:t>
      </w:r>
    </w:p>
    <w:p w:rsidR="00883C80" w:rsidRPr="00883C80" w:rsidRDefault="00883C80" w:rsidP="00883C80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7. Частью 6 статьи 3 Закона устанавливается обязанность сторон по договору о предоставлении права пользования земельным участком для сельскохозяйственных нужд (эмфитевзис) и по договору об установлении права застройки земельного участка (суперфиций), которые заключены до вступления в силу Федерального конституционного закона от 21 марта 2014 года № 6-ФКЗ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Севастополя», расторгнуть такие договоры и заключить договор аренды земельного участка.</w:t>
      </w:r>
    </w:p>
    <w:p w:rsidR="00883C80" w:rsidRPr="00883C80" w:rsidRDefault="00883C80" w:rsidP="00883C80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Вместе с тем отмечаем, что обязательственное право (право аренды) по своему содержанию не вполне соответствует вещному. Ограниченные вещные права (право пользования чужим земельным участком для сельскохозяйственных потребностей и право застройки) имеют преимущества перед обязательственными (например, правом аренды), поскольку положение обладателя вещного права является более прочным.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В связи с этим представляется целесообразным установить добровольный порядок «перезаключения» договоров о предоставлении права пользования земельным участком для сельскохозяйственных нужд и об установлении права застройки земельного участка, предоставив возможность сторонам сохранить юридическую силу договоров о предоставлении права пользования земельным участком для сельскохозяйственных нужд и об установлении права застройки, учитывая, что проектом федерального закона № 47538-6 «О внесении изменений в части первую, вторую, третью и четвертую Гражданского кодекса Российской Федерации, а также в отдельные законодательные акты Российской Федерации», принятом Государственной Думой Федерального Собрания Российской Федерации в первом чтении 27 апреля 2012 г., </w:t>
      </w:r>
      <w:r w:rsidRPr="00883C80">
        <w:rPr>
          <w:rFonts w:ascii="Times New Roman" w:hAnsi="Times New Roman"/>
          <w:bCs/>
          <w:sz w:val="28"/>
          <w:szCs w:val="28"/>
        </w:rPr>
        <w:lastRenderedPageBreak/>
        <w:t>предлагается дополнить Гражданский кодекс Российской Федерации нормами о соответствующих ограниченных вещных правах (право постоянного землевладения и право застройки).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Для тех правообладателей, которые не переоформят принадлежащие им права и не заключат договор аренды вместо договора о предоставлении права пользования земельным участком для сельскохозяйственных нужд и об установлении права застройки, целесообразно предусмотреть, что эти права признаются и сохраняются за ними в том же объеме, имея в виду, что недопустимо ухудшение положения обладателей вещных прав.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8. Формулировку «государственной регистрации права аренды, залога или сервитута», используемую в пунктах 7 и 16 статьи 3 Закона необходимо привести в соответствие со статьями 26, 27, 29 Федерального закона от 27 июля 1997 года              № 122-ФЗ «О государственной регистрации прав на недвижимое имущество и сделок с ним» в части использования формулировок. Кроме этого, пункт 16 статьи 3 Закона после слов «договор аренды» требуется дополнить словом «залога».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9. В пункте 12 статьи 3 Закона слова «Гражданскому кодексу Российской Федерации и Земельному кодексу Российской Федерации» рекомендуется заменить словами «законодательству Российской Федерации».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64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10. В статье 4 Закона требуется уточнить, какие ограничения (обременения) прав имеются в виду.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649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11. Согласно части 3 статьи 13 Закона размер цены земельных участков и арендной платы за земельные участки, указанные в части 2 статьи 13 Закона, определяется Советом министров Республики Крым.</w:t>
      </w:r>
    </w:p>
    <w:p w:rsidR="00883C80" w:rsidRPr="00883C80" w:rsidRDefault="00883C80" w:rsidP="00883C80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Вместе с тем согласно подпункту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года № 96 «Об антикоррупционной экспертизе нормативных правовых актов и проектов нормативных правовых актов» широта дискреционных полномочий - отсутствие условий и основания принятия решения органом государственной власти или органов местного самоуправления (их должностных лиц), является коррупциогенным фактором, устанавливающим для правоприменителя необоснованно широкие пределы усмотрения.</w:t>
      </w:r>
    </w:p>
    <w:p w:rsidR="00883C80" w:rsidRPr="00883C80" w:rsidRDefault="00883C80" w:rsidP="00883C80">
      <w:pPr>
        <w:widowControl w:val="0"/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 xml:space="preserve">В целях устранения выявленного коррупциогенного фактора рекомендуется установить механизм определения цены земель, аналогичный предусмотренному в пункте 2 статьи 2 Федерального закона от 21 октября 2001 года № 137-ФЗ «О введении в действие Земельного </w:t>
      </w:r>
      <w:r w:rsidRPr="00883C80">
        <w:rPr>
          <w:rFonts w:ascii="Times New Roman" w:hAnsi="Times New Roman"/>
          <w:bCs/>
          <w:sz w:val="28"/>
          <w:szCs w:val="28"/>
        </w:rPr>
        <w:lastRenderedPageBreak/>
        <w:t>кодекса Российской Федерации», согласно которому при приобретении лицами, указанными в пункте 1 статьи 2 указанного Федерального закона, земельных участков, находящихся в государственной или муниципальной собственности их цена устанавливается субъектами Российской Федерации в пределах двадцати процентов кадастровой стоимости земельного участка, расположенного в городах с численностью населения свыше 3 миллионов человек; двух с половиной процентов кадастровой стоимости земельного участка, расположенного в иной местности. До установления субъектами Российской Федерации цены земельного участка применяется наибольшая для соответствующей местности цена земельного участка.</w:t>
      </w:r>
    </w:p>
    <w:p w:rsidR="00883C80" w:rsidRPr="00883C80" w:rsidRDefault="00883C80" w:rsidP="00883C80">
      <w:pPr>
        <w:widowControl w:val="0"/>
        <w:spacing w:line="360" w:lineRule="exact"/>
        <w:ind w:left="40" w:right="20" w:firstLine="720"/>
        <w:rPr>
          <w:rFonts w:ascii="Times New Roman" w:hAnsi="Times New Roman"/>
          <w:bCs/>
          <w:i/>
          <w:sz w:val="28"/>
          <w:szCs w:val="28"/>
        </w:rPr>
      </w:pPr>
      <w:r w:rsidRPr="00883C80">
        <w:rPr>
          <w:rFonts w:ascii="Times New Roman" w:hAnsi="Times New Roman"/>
          <w:bCs/>
          <w:sz w:val="28"/>
          <w:szCs w:val="28"/>
        </w:rPr>
        <w:t>Обращаем внимание, что в соответствии со статьей 12.1 Федерального конституционного закона от 21 марта 2014 г. № 6-ФКЗ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 до 1 января 2017 года на территориях Республики Крым и города федерального значения Севастополя особенности регулирования имущественных, градостроительных, земельных и лесных отношений, а также отношений в сфере кадастрового учета недвижимости и государственной регистрации прав на недвижимое имущество и сделок с ним могут быть установлены нормативными правовыми актами Республики Крым и нормативными правовыми актами города федерального значения Севастополя</w:t>
      </w:r>
      <w:r w:rsidRPr="00883C80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883C80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по согласованию с федеральным органом исполнительной власти, уполномоченным на осуществление нормативно-правового регулирования в соответствующей сфере.</w:t>
      </w:r>
    </w:p>
    <w:p w:rsidR="00883C80" w:rsidRPr="00883C80" w:rsidRDefault="00883C80" w:rsidP="00883C80">
      <w:pPr>
        <w:adjustRightInd w:val="0"/>
        <w:spacing w:line="360" w:lineRule="exact"/>
        <w:ind w:firstLine="720"/>
        <w:outlineLvl w:val="0"/>
        <w:rPr>
          <w:rFonts w:ascii="Times New Roman" w:hAnsi="Times New Roman"/>
          <w:sz w:val="28"/>
          <w:szCs w:val="28"/>
        </w:rPr>
      </w:pPr>
      <w:r w:rsidRPr="00883C80">
        <w:rPr>
          <w:rFonts w:ascii="Times New Roman" w:hAnsi="Times New Roman"/>
          <w:sz w:val="28"/>
          <w:szCs w:val="28"/>
        </w:rPr>
        <w:t xml:space="preserve">На основании вышеизложенного, предлагаем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Закон Республики Крым от </w:t>
      </w:r>
      <w:r w:rsidRPr="00883C80">
        <w:rPr>
          <w:rFonts w:ascii="Times New Roman" w:hAnsi="Times New Roman"/>
          <w:color w:val="000000"/>
          <w:sz w:val="28"/>
          <w:szCs w:val="28"/>
        </w:rPr>
        <w:t>31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.07.2014 № 38-ЗРК «Об особенностях регулирования имущественных и земельных отношений на территории Республики Крым» </w:t>
      </w:r>
      <w:r w:rsidRPr="00883C80">
        <w:rPr>
          <w:rFonts w:ascii="Times New Roman" w:hAnsi="Times New Roman"/>
          <w:color w:val="000000"/>
          <w:sz w:val="28"/>
          <w:szCs w:val="28"/>
        </w:rPr>
        <w:t xml:space="preserve">(в редакции Законов Республики Крым от 15.09.2014 № 69-ЗРК, от 10.12.2014 № 19-ЗРК, от 19.01.2015                                  № 72-ЗРК/2015, от 20.01.2015 № 73-ЗРК/2015,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от 30 ноября 2015 года </w:t>
      </w:r>
      <w:r w:rsidRPr="00883C80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                         </w:t>
      </w:r>
      <w:r w:rsidRPr="00883C80">
        <w:rPr>
          <w:rFonts w:ascii="Times New Roman" w:hAnsi="Times New Roman"/>
          <w:color w:val="000000"/>
          <w:sz w:val="28"/>
          <w:szCs w:val="28"/>
          <w:lang w:val="x-none" w:eastAsia="x-none"/>
        </w:rPr>
        <w:t>№ 169-ЗРК/2015</w:t>
      </w:r>
      <w:r w:rsidRPr="00883C80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883C80">
        <w:rPr>
          <w:rFonts w:ascii="Times New Roman" w:hAnsi="Times New Roman"/>
          <w:sz w:val="28"/>
          <w:szCs w:val="28"/>
        </w:rPr>
        <w:t>привести в соответствие с федеральным законодательством и устранить коррупциогенный фактор.</w:t>
      </w:r>
    </w:p>
    <w:p w:rsidR="00883C80" w:rsidRPr="00883C80" w:rsidRDefault="00883C80" w:rsidP="00883C80">
      <w:pPr>
        <w:adjustRightInd w:val="0"/>
        <w:spacing w:line="360" w:lineRule="exact"/>
        <w:ind w:firstLine="720"/>
        <w:outlineLvl w:val="0"/>
        <w:rPr>
          <w:rFonts w:ascii="Times New Roman" w:hAnsi="Times New Roman"/>
          <w:sz w:val="28"/>
          <w:szCs w:val="28"/>
        </w:rPr>
      </w:pPr>
      <w:r w:rsidRPr="00883C80">
        <w:rPr>
          <w:rFonts w:ascii="Times New Roman" w:hAnsi="Times New Roman"/>
          <w:sz w:val="28"/>
          <w:szCs w:val="28"/>
        </w:rPr>
        <w:t>Просим сообщить о результатах рассмотрения настоящего экспертного заключения.</w:t>
      </w:r>
    </w:p>
    <w:p w:rsidR="00883C80" w:rsidRPr="00883C80" w:rsidRDefault="00883C80" w:rsidP="00883C80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EB4DA1" w:rsidRDefault="00883C80" w:rsidP="00883C80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  <w:r w:rsidRPr="00883C80">
        <w:rPr>
          <w:rFonts w:ascii="Times New Roman" w:hAnsi="Times New Roman"/>
          <w:sz w:val="28"/>
          <w:szCs w:val="28"/>
        </w:rPr>
        <w:t>Начальник</w:t>
      </w:r>
      <w:r w:rsidR="00EB4DA1">
        <w:rPr>
          <w:rFonts w:ascii="Times New Roman" w:hAnsi="Times New Roman"/>
          <w:sz w:val="28"/>
          <w:szCs w:val="28"/>
        </w:rPr>
        <w:tab/>
      </w:r>
      <w:r w:rsidR="00EB4DA1">
        <w:rPr>
          <w:rFonts w:ascii="Times New Roman" w:hAnsi="Times New Roman"/>
          <w:sz w:val="28"/>
          <w:szCs w:val="28"/>
        </w:rPr>
        <w:tab/>
      </w:r>
      <w:r w:rsidR="00EB4DA1">
        <w:rPr>
          <w:rFonts w:ascii="Times New Roman" w:hAnsi="Times New Roman"/>
          <w:sz w:val="28"/>
          <w:szCs w:val="28"/>
        </w:rPr>
        <w:tab/>
      </w:r>
      <w:r w:rsidR="00EB4DA1">
        <w:rPr>
          <w:rFonts w:ascii="Times New Roman" w:hAnsi="Times New Roman"/>
          <w:sz w:val="28"/>
          <w:szCs w:val="28"/>
        </w:rPr>
        <w:tab/>
      </w:r>
      <w:r w:rsidR="00EB4DA1">
        <w:rPr>
          <w:rFonts w:ascii="Times New Roman" w:hAnsi="Times New Roman"/>
          <w:sz w:val="28"/>
          <w:szCs w:val="28"/>
        </w:rPr>
        <w:tab/>
      </w:r>
      <w:r w:rsidR="00EB4DA1">
        <w:rPr>
          <w:rFonts w:ascii="Times New Roman" w:hAnsi="Times New Roman"/>
          <w:sz w:val="28"/>
          <w:szCs w:val="28"/>
        </w:rPr>
        <w:tab/>
      </w:r>
      <w:r w:rsidR="00EB4DA1">
        <w:rPr>
          <w:rFonts w:ascii="Times New Roman" w:hAnsi="Times New Roman"/>
          <w:sz w:val="28"/>
          <w:szCs w:val="28"/>
        </w:rPr>
        <w:tab/>
      </w:r>
      <w:r w:rsidRPr="00883C80">
        <w:rPr>
          <w:rFonts w:ascii="Times New Roman" w:hAnsi="Times New Roman"/>
          <w:sz w:val="28"/>
          <w:szCs w:val="28"/>
        </w:rPr>
        <w:tab/>
        <w:t xml:space="preserve">     А.В. Юрковский</w:t>
      </w:r>
    </w:p>
    <w:p w:rsidR="00EB4DA1" w:rsidRPr="00883C80" w:rsidRDefault="00EB4DA1" w:rsidP="00883C80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883C80" w:rsidRPr="00883C80" w:rsidRDefault="00883C80" w:rsidP="00883C80">
      <w:pPr>
        <w:ind w:firstLine="0"/>
        <w:jc w:val="left"/>
        <w:rPr>
          <w:rFonts w:ascii="Times New Roman" w:hAnsi="Times New Roman"/>
          <w:sz w:val="20"/>
          <w:szCs w:val="20"/>
        </w:rPr>
      </w:pPr>
      <w:r w:rsidRPr="00883C80">
        <w:rPr>
          <w:rFonts w:ascii="Times New Roman" w:hAnsi="Times New Roman"/>
          <w:sz w:val="20"/>
          <w:szCs w:val="20"/>
        </w:rPr>
        <w:t xml:space="preserve">Н.Р. Сейтумерова </w:t>
      </w:r>
    </w:p>
    <w:p w:rsidR="00883C80" w:rsidRPr="00883C80" w:rsidRDefault="00883C80" w:rsidP="00883C80">
      <w:pPr>
        <w:ind w:firstLine="0"/>
        <w:jc w:val="left"/>
        <w:rPr>
          <w:rFonts w:ascii="Times New Roman" w:hAnsi="Times New Roman"/>
          <w:b/>
          <w:sz w:val="28"/>
          <w:szCs w:val="28"/>
        </w:rPr>
      </w:pPr>
      <w:r w:rsidRPr="00883C80">
        <w:rPr>
          <w:rFonts w:ascii="Times New Roman" w:hAnsi="Times New Roman"/>
          <w:sz w:val="20"/>
          <w:szCs w:val="20"/>
        </w:rPr>
        <w:t>546-323</w:t>
      </w:r>
    </w:p>
    <w:sectPr w:rsidR="00883C80" w:rsidRPr="00883C80" w:rsidSect="0017141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54"/>
    <w:rsid w:val="00171416"/>
    <w:rsid w:val="00196754"/>
    <w:rsid w:val="00504E98"/>
    <w:rsid w:val="005217B4"/>
    <w:rsid w:val="005901A2"/>
    <w:rsid w:val="00883C80"/>
    <w:rsid w:val="00E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B4DA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EB4DA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B4DA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B4DA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B4DA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EB4DA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B4DA1"/>
  </w:style>
  <w:style w:type="paragraph" w:styleId="a3">
    <w:name w:val="Plain Text"/>
    <w:basedOn w:val="a"/>
    <w:link w:val="a4"/>
    <w:uiPriority w:val="99"/>
    <w:unhideWhenUsed/>
    <w:rsid w:val="00171416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71416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83C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3C8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3C8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3C8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EB4DA1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EB4DA1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883C8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EB4DA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EB4DA1"/>
    <w:rPr>
      <w:color w:val="0000FF"/>
      <w:u w:val="none"/>
    </w:rPr>
  </w:style>
  <w:style w:type="paragraph" w:customStyle="1" w:styleId="Application">
    <w:name w:val="Application!Приложение"/>
    <w:rsid w:val="00EB4DA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EB4DA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EB4DA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EB4DA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EB4DA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B4DA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EB4DA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B4DA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B4DA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B4DA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EB4DA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B4DA1"/>
  </w:style>
  <w:style w:type="paragraph" w:styleId="a3">
    <w:name w:val="Plain Text"/>
    <w:basedOn w:val="a"/>
    <w:link w:val="a4"/>
    <w:uiPriority w:val="99"/>
    <w:unhideWhenUsed/>
    <w:rsid w:val="00171416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71416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83C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3C8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3C8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3C8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EB4DA1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EB4DA1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883C8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EB4DA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EB4DA1"/>
    <w:rPr>
      <w:color w:val="0000FF"/>
      <w:u w:val="none"/>
    </w:rPr>
  </w:style>
  <w:style w:type="paragraph" w:customStyle="1" w:styleId="Application">
    <w:name w:val="Application!Приложение"/>
    <w:rsid w:val="00EB4DA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EB4DA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EB4DA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EB4DA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EB4DA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79DC89929E547AD2FFFD43337F67204E5B64ACE28A3B6BE20186DD03D2243649723835FE3C4C2Fl3U0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BDCF8066F9B7E183B3382F2304051D0C84EE0169E055EB147136DD0F882B484E6596E6522CFC21uAv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9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21292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Будник Анна Андреевна</dc:creator>
  <cp:keywords/>
  <dc:description/>
  <cp:lastModifiedBy>Будник Анна Андреевна</cp:lastModifiedBy>
  <cp:revision>1</cp:revision>
  <cp:lastPrinted>2016-04-21T12:45:00Z</cp:lastPrinted>
  <dcterms:created xsi:type="dcterms:W3CDTF">2016-04-21T12:44:00Z</dcterms:created>
  <dcterms:modified xsi:type="dcterms:W3CDTF">2016-04-21T12:47:00Z</dcterms:modified>
</cp:coreProperties>
</file>