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Performance Review, Calibration, and Compensation Guidelines (v2.0)</w:t>
      </w:r>
    </w:p>
    <w:p>
      <w:pPr>
        <w:pStyle w:val="Heading1"/>
      </w:pPr>
      <w:r>
        <w:t>1. Policy Classification and Confidentiality</w:t>
      </w:r>
    </w:p>
    <w:p>
      <w:r>
        <w:t>CONFIDENTIAL — RESTRICTED TO PEOPLE MANAGERS AND HR PERSONNEL.</w:t>
      </w:r>
    </w:p>
    <w:p>
      <w:r>
        <w:t>ACCESS CONTROL LIST (ACL): Restricted to hr@example.com, manager@example.com.</w:t>
      </w:r>
    </w:p>
    <w:p>
      <w:r>
        <w:t>This document provides guidelines for performance evaluations, 5-tier calibration curves, promotion criteria, and merit salary adjustment bands.</w:t>
      </w:r>
    </w:p>
    <w:p>
      <w:pPr>
        <w:pStyle w:val="Heading1"/>
      </w:pPr>
      <w:r>
        <w:t>2. Performance Review Cadence &amp; Evaluation Cycles</w:t>
      </w:r>
    </w:p>
    <w:p>
      <w:r>
        <w:t>NovaTech conducts formal performance reviews twice per calendar year:</w:t>
      </w:r>
    </w:p>
    <w:p>
      <w:r>
        <w:t>Mid-Year Review Cycle (June 1 – June 30): Focuses on progress against annual OKRs, qualitative 360-degree feedback, and coaching conversations. Does not impact base salary.</w:t>
      </w:r>
    </w:p>
    <w:p>
      <w:r>
        <w:t>Annual Review Cycle (November 1 – December 15): Comprehensive evaluation determining merit salary increases, annual performance bonus payouts, equity refreshes, and level promotions.</w:t>
      </w:r>
    </w:p>
    <w:p>
      <w:r>
        <w:t>Evaluation Steps: (1) Employee self-assessment submitted within the first 10 days of the cycle, (2) Minimum of 3 peer reviews gathered via Lattice, (3) Manager assessment and rating submission, (4) Departmental calibration committee review.</w:t>
      </w:r>
    </w:p>
    <w:p>
      <w:pPr>
        <w:pStyle w:val="Heading1"/>
      </w:pPr>
      <w:r>
        <w:t>3. 5-Tier Rating Scale and Calibration Curve</w:t>
      </w:r>
    </w:p>
    <w:p>
      <w:r>
        <w:t>To maintain fairness and consistency across teams, manager ratings are calibrated against the following distribution targets:</w:t>
      </w:r>
    </w:p>
    <w:p>
      <w:r>
        <w:t>Rating 1 — Does Not Meet Expectations (Target: &lt;5% of organization): Performance consistently fails to meet role requirements. Triggers an immediate 60-day Performance Improvement Plan (PIP). Ineligible for bonus, promotion, or merit increase.</w:t>
      </w:r>
    </w:p>
    <w:p>
      <w:r>
        <w:t>Rating 2 — Inconsistently Meets Expectations (Target: ~15% of organization): Meets some objectives but lacks consistency in delivery or cross-functional collaboration. Eligible for partial bonus (0.5x target).</w:t>
      </w:r>
    </w:p>
    <w:p>
      <w:r>
        <w:t>Rating 3 — Consistently Meets Expectations (Target: ~55% of organization): Solid core contributor who consistently meets all expectations and core values. Eligible for 1.0x target bonus.</w:t>
      </w:r>
    </w:p>
    <w:p>
      <w:r>
        <w:t>Rating 4 — Exceeds Expectations (Target: ~20% of organization): Consistently delivers high-impact outcomes exceeding role scope. Eligible for 1.25x target bonus multiplier.</w:t>
      </w:r>
    </w:p>
    <w:p>
      <w:r>
        <w:t>Rating 5 — Outstanding Impact (Target: ~5% of organization): Exceptional organizational impact and technical or business leadership. Eligible for 1.5x target bonus multiplier and priority promotion review.</w:t>
      </w:r>
    </w:p>
    <w:p>
      <w:pPr>
        <w:pStyle w:val="Heading1"/>
      </w:pPr>
      <w:r>
        <w:t>4. Promotion Eligibility Criteria</w:t>
      </w:r>
    </w:p>
    <w:p>
      <w:r>
        <w:t>Formal level promotions occur exclusively during the Q4 Annual Review Cycle.</w:t>
      </w:r>
    </w:p>
    <w:p>
      <w:r>
        <w:t>Eligibility Requirements: Employee must have a minimum tenure of 12 consecutive months at their current level and have achieved a performance rating of 4 or 5 in the preceding review cycle.</w:t>
      </w:r>
    </w:p>
    <w:p>
      <w:r>
        <w:t>Promotion Dossier: Requires written sponsorship from the direct manager, two cross-functional staff-level peer recommendations, and sign-off from the Department Vice President and People Review Board.</w:t>
      </w:r>
    </w:p>
    <w:p>
      <w:pPr>
        <w:pStyle w:val="Heading1"/>
      </w:pPr>
      <w:r>
        <w:t>5. Annual Merit Salary Increase Bands</w:t>
      </w:r>
    </w:p>
    <w:p>
      <w:r>
        <w:t>Merit salary increases are tied directly to calibrated performance ratings:</w:t>
      </w:r>
    </w:p>
    <w:p>
      <w:r>
        <w:t>Rating 3 (Meets Expectations): 2.0% to 4.0% base salary increase.</w:t>
      </w:r>
    </w:p>
    <w:p>
      <w:r>
        <w:t>Rating 4 (Exceeds Expectations): 5.0% to 8.0% base salary increase.</w:t>
      </w:r>
    </w:p>
    <w:p>
      <w:r>
        <w:t>Rating 5 (Outstanding Impact): 9.0% to 14.0% base salary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