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NovaTech Corporate Travel &amp; Expense Reimbursement Policy (v2.8)</w:t>
      </w:r>
    </w:p>
    <w:p>
      <w:pPr>
        <w:pStyle w:val="Heading1"/>
      </w:pPr>
      <w:r>
        <w:t>1. Purpose, Scope and Guiding Principles</w:t>
      </w:r>
    </w:p>
    <w:p>
      <w:r>
        <w:t>This policy governs all business-related travel, lodging, meal expenses, client entertainment, and professional incidentals incurred by NovaTech employees. Employees are expected to exercise good judgment and spend corporate funds judiciously as fiduciary stewards.</w:t>
      </w:r>
    </w:p>
    <w:p>
      <w:pPr>
        <w:pStyle w:val="Heading1"/>
      </w:pPr>
      <w:r>
        <w:t>2. Corporate Travel Booking Portal &amp; Airfare Standards</w:t>
      </w:r>
    </w:p>
    <w:p>
      <w:r>
        <w:t>All commercial flights must be booked exclusively through NovaTech's corporate travel management tool (Navan) using the company credit card on file.</w:t>
      </w:r>
    </w:p>
    <w:p>
      <w:r>
        <w:t>Domestic Airfare: Economy class booking is mandatory for all domestic flights within North America.</w:t>
      </w:r>
    </w:p>
    <w:p>
      <w:r>
        <w:t>International Airfare: Economy class is required for international flights under 6 continuous flight hours. Premium Economy or Business Class travel is permitted for international flights exceeding 8 continuous flight hours, subject to written pre-authorization from the functional Vice President.</w:t>
      </w:r>
    </w:p>
    <w:p>
      <w:r>
        <w:t>Seat upgrades, priority boarding fees, and airline lounge memberships are considered personal expenses and are strictly non-reimbursable.</w:t>
      </w:r>
    </w:p>
    <w:p>
      <w:pPr>
        <w:pStyle w:val="Heading1"/>
      </w:pPr>
      <w:r>
        <w:t>3. Hotel Lodging Nightly Maximum Rates</w:t>
      </w:r>
    </w:p>
    <w:p>
      <w:r>
        <w:t>Hotel rooms must be booked in standard single-occupancy rooms through Navan. Nightly room rate maximums (excluding local taxes and mandatory resort fees) are tiered by destination city:</w:t>
      </w:r>
    </w:p>
    <w:p>
      <w:r>
        <w:t>Tier 1 Metropolitan Markets (New York City, San Francisco, London, Tokyo, Zurich, Singapore, Paris): Maximum rate of $300 USD per night.</w:t>
      </w:r>
    </w:p>
    <w:p>
      <w:r>
        <w:t>Tier 2 Markets (all other domestic and international urban locations): Maximum rate of $200 USD per night.</w:t>
      </w:r>
    </w:p>
    <w:p>
      <w:r>
        <w:t>If hotels within the designated cap are unavailable due to city-wide conventions or peak seasonal events, written pre-approval from a Department Director is required prior to booking.</w:t>
      </w:r>
    </w:p>
    <w:p>
      <w:pPr>
        <w:pStyle w:val="Heading1"/>
      </w:pPr>
      <w:r>
        <w:t>4. Daily Meal Reimbursement and Client Entertainment</w:t>
      </w:r>
    </w:p>
    <w:p>
      <w:r>
        <w:t>Individual Travel Meals: When traveling on authorized business, NovaTech reimburses actual meal costs up to a maximum daily per diem of $85 USD per day. Recommended allocation: $20 for breakfast, $25 for lunch, and $40 for dinner. Itemized receipts are mandatory for any single meal expense exceeding $25 USD.</w:t>
      </w:r>
    </w:p>
    <w:p>
      <w:r>
        <w:t>Alcohol Policy: Alcoholic beverages purchased during solo travel meals are strictly non-reimbursable.</w:t>
      </w:r>
    </w:p>
    <w:p>
      <w:r>
        <w:t>Team Dinners &amp; Client Entertainment: Authorized client entertainment dinners or internal team celebratory meals are capped at $100 USD per attendee (including food, beverage, tax, and gratuity). An itemized receipt accompanied by a complete list of attendee names, affiliations, and business discussion topics must be attached in Expensify.</w:t>
      </w:r>
    </w:p>
    <w:p>
      <w:pPr>
        <w:pStyle w:val="Heading1"/>
      </w:pPr>
      <w:r>
        <w:t>5. Ground Transportation, Rental Cars &amp; Airport Parking</w:t>
      </w:r>
    </w:p>
    <w:p>
      <w:r>
        <w:t>Rideshare &amp; Taxis: Standard rideshare options (UberX, Lyft Standard) or municipal licensed taxis are fully reimbursable for travel between airports, lodging, and client offices. Premium luxury vehicles (Uber Black, Lyft Lux) are strictly prohibited.</w:t>
      </w:r>
    </w:p>
    <w:p>
      <w:r>
        <w:t>Rental Cars: Compact or intermediate sedans should be booked via Navan. Rental car optional collision damage waivers (CDW) should be declined domestically as NovaTech corporate insurance covers rental vehicles.</w:t>
      </w:r>
    </w:p>
    <w:p>
      <w:r>
        <w:t>Personal Mileage: Business use of personal vehicles is reimbursed at the prevailing IRS federal mileage rate (currently $0.67 per mile). Commuting from home to the local hub office is non-reimbursable.</w:t>
      </w:r>
    </w:p>
    <w:p>
      <w:r>
        <w:t>Airport Parking: Long-term economy airport parking is reimbursed up to a maximum of $35 USD per calendar day.</w:t>
      </w:r>
    </w:p>
    <w:p>
      <w:pPr>
        <w:pStyle w:val="Heading1"/>
      </w:pPr>
      <w:r>
        <w:t>6. Expense Filing Windows and Management Approval Matrix</w:t>
      </w:r>
    </w:p>
    <w:p>
      <w:r>
        <w:t>Expense reports must be submitted in Expensify within 30 calendar days of incurring the expense or completing the travel event. Expense submissions older than 60 calendar days will be automatically rejected without reimbursement.</w:t>
      </w:r>
    </w:p>
    <w:p>
      <w:r>
        <w:t>Management Approval Thresholds:</w:t>
      </w:r>
    </w:p>
    <w:p>
      <w:r>
        <w:t>Level 1: Direct Managers can approve individual expense reports up to $2,500 USD.</w:t>
      </w:r>
    </w:p>
    <w:p>
      <w:r>
        <w:t>Level 2: Department Directors must approve expense reports between $2,501 and $10,000 USD.</w:t>
      </w:r>
    </w:p>
    <w:p>
      <w:r>
        <w:t>Level 3: The Chief Financial Officer (CFO) must approve any expense report exceeding $10,000 USD.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