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3E0" w:rsidRPr="000E43E0" w:rsidRDefault="000E43E0" w:rsidP="000E43E0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caps/>
          <w:color w:val="2D2D2D"/>
          <w:sz w:val="24"/>
          <w:szCs w:val="24"/>
          <w:lang w:eastAsia="en-IN"/>
        </w:rPr>
      </w:pPr>
      <w:r w:rsidRPr="000E43E0">
        <w:rPr>
          <w:rFonts w:ascii="Times New Roman" w:eastAsia="Times New Roman" w:hAnsi="Times New Roman" w:cs="Times New Roman"/>
          <w:caps/>
          <w:color w:val="2D2D2D"/>
          <w:sz w:val="24"/>
          <w:szCs w:val="24"/>
          <w:lang w:eastAsia="en-IN"/>
        </w:rPr>
        <w:t>FREE-RADICAL VERSUS ANIONIC POLYMERIZATION</w:t>
      </w:r>
    </w:p>
    <w:tbl>
      <w:tblPr>
        <w:tblW w:w="9000" w:type="dxa"/>
        <w:jc w:val="center"/>
        <w:tblCellSpacing w:w="15" w:type="dxa"/>
        <w:tblBorders>
          <w:top w:val="single" w:sz="12" w:space="0" w:color="008000"/>
          <w:bottom w:val="single" w:sz="12" w:space="0" w:color="008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9"/>
        <w:gridCol w:w="4681"/>
      </w:tblGrid>
      <w:tr w:rsidR="000E43E0" w:rsidRPr="000E43E0" w:rsidTr="000E43E0">
        <w:trPr>
          <w:trHeight w:val="525"/>
          <w:tblCellSpacing w:w="15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43E0" w:rsidRPr="000E43E0" w:rsidRDefault="000E43E0" w:rsidP="000E43E0">
            <w:pPr>
              <w:spacing w:after="0" w:line="360" w:lineRule="auto"/>
              <w:jc w:val="center"/>
              <w:outlineLvl w:val="2"/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  <w:lang w:eastAsia="en-IN"/>
              </w:rPr>
            </w:pPr>
            <w:r w:rsidRPr="000E43E0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  <w:lang w:eastAsia="en-IN"/>
              </w:rPr>
              <w:t>ANIONIC (LIVING) POLYMERIZATION VERSUS FREE-RADICAL POLYMERIZATION</w:t>
            </w:r>
          </w:p>
        </w:tc>
      </w:tr>
      <w:tr w:rsidR="000E43E0" w:rsidRPr="000E43E0" w:rsidTr="000E43E0">
        <w:trPr>
          <w:trHeight w:val="525"/>
          <w:tblCellSpacing w:w="15" w:type="dxa"/>
          <w:jc w:val="center"/>
        </w:trPr>
        <w:tc>
          <w:tcPr>
            <w:tcW w:w="60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:rsidR="000E43E0" w:rsidRPr="000E43E0" w:rsidRDefault="000E43E0" w:rsidP="000E43E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Anionic Polymerization</w:t>
            </w:r>
          </w:p>
        </w:tc>
        <w:tc>
          <w:tcPr>
            <w:tcW w:w="60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:rsidR="000E43E0" w:rsidRPr="000E43E0" w:rsidRDefault="000E43E0" w:rsidP="000E43E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bookmarkEnd w:id="0"/>
            <w:r w:rsidRPr="000E4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Free-Radical Polymerization</w:t>
            </w:r>
          </w:p>
        </w:tc>
      </w:tr>
      <w:tr w:rsidR="000E43E0" w:rsidRPr="000E43E0" w:rsidTr="000E43E0">
        <w:trPr>
          <w:trHeight w:val="600"/>
          <w:tblCellSpacing w:w="15" w:type="dxa"/>
          <w:jc w:val="center"/>
        </w:trPr>
        <w:tc>
          <w:tcPr>
            <w:tcW w:w="60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:rsidR="000E43E0" w:rsidRPr="000E43E0" w:rsidRDefault="000E43E0" w:rsidP="000E43E0">
            <w:pPr>
              <w:spacing w:after="100" w:afterAutospacing="1" w:line="36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3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There is no termination step unless contaminations such as water or alcohol are present or deliberately added to terminate the reactions.</w:t>
            </w:r>
          </w:p>
        </w:tc>
        <w:tc>
          <w:tcPr>
            <w:tcW w:w="62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:rsidR="000E43E0" w:rsidRPr="000E43E0" w:rsidRDefault="000E43E0" w:rsidP="000E43E0">
            <w:pPr>
              <w:spacing w:after="100" w:afterAutospacing="1" w:line="360" w:lineRule="auto"/>
              <w:ind w:left="8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3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Chain growth termination occurs via combination or disproportionation which compete with chain growth and chain transfer reactions.</w:t>
            </w:r>
          </w:p>
        </w:tc>
      </w:tr>
      <w:tr w:rsidR="000E43E0" w:rsidRPr="000E43E0" w:rsidTr="000E43E0">
        <w:trPr>
          <w:tblCellSpacing w:w="15" w:type="dxa"/>
          <w:jc w:val="center"/>
        </w:trPr>
        <w:tc>
          <w:tcPr>
            <w:tcW w:w="60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:rsidR="000E43E0" w:rsidRPr="000E43E0" w:rsidRDefault="000E43E0" w:rsidP="000E43E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2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:rsidR="000E43E0" w:rsidRPr="000E43E0" w:rsidRDefault="000E43E0" w:rsidP="000E43E0">
            <w:pPr>
              <w:spacing w:after="0" w:line="36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E43E0" w:rsidRPr="000E43E0" w:rsidTr="000E43E0">
        <w:trPr>
          <w:trHeight w:val="360"/>
          <w:tblCellSpacing w:w="15" w:type="dxa"/>
          <w:jc w:val="center"/>
        </w:trPr>
        <w:tc>
          <w:tcPr>
            <w:tcW w:w="60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:rsidR="000E43E0" w:rsidRPr="000E43E0" w:rsidRDefault="000E43E0" w:rsidP="000E43E0">
            <w:pPr>
              <w:spacing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3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initiation of anionic polymerization has typically a much smaller activation energy than the corresponding free-radical polymerization.</w:t>
            </w:r>
          </w:p>
        </w:tc>
        <w:tc>
          <w:tcPr>
            <w:tcW w:w="62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:rsidR="000E43E0" w:rsidRPr="000E43E0" w:rsidRDefault="000E43E0" w:rsidP="000E43E0">
            <w:pPr>
              <w:spacing w:after="100" w:afterAutospacing="1" w:line="360" w:lineRule="auto"/>
              <w:ind w:left="2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3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Free-radical polymerizations require potent initiators (and </w:t>
            </w:r>
            <w:proofErr w:type="spellStart"/>
            <w:r w:rsidRPr="000E43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coinitiators</w:t>
            </w:r>
            <w:proofErr w:type="spellEnd"/>
            <w:r w:rsidRPr="000E43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 The rate constant for initiator dissociation is much smaller than that for propagation.</w:t>
            </w:r>
          </w:p>
        </w:tc>
      </w:tr>
      <w:tr w:rsidR="000E43E0" w:rsidRPr="000E43E0" w:rsidTr="000E43E0">
        <w:trPr>
          <w:tblCellSpacing w:w="15" w:type="dxa"/>
          <w:jc w:val="center"/>
        </w:trPr>
        <w:tc>
          <w:tcPr>
            <w:tcW w:w="60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:rsidR="000E43E0" w:rsidRPr="000E43E0" w:rsidRDefault="000E43E0" w:rsidP="000E43E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2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:rsidR="000E43E0" w:rsidRPr="000E43E0" w:rsidRDefault="000E43E0" w:rsidP="000E43E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E43E0" w:rsidRPr="000E43E0" w:rsidTr="000E43E0">
        <w:trPr>
          <w:trHeight w:val="360"/>
          <w:tblCellSpacing w:w="15" w:type="dxa"/>
          <w:jc w:val="center"/>
        </w:trPr>
        <w:tc>
          <w:tcPr>
            <w:tcW w:w="60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:rsidR="000E43E0" w:rsidRPr="000E43E0" w:rsidRDefault="000E43E0" w:rsidP="000E43E0">
            <w:pPr>
              <w:spacing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3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Anionic polymerization reactions are rather insensitive to temperature and can be carried out at very low temperatures but are only suitable for monomers with strong electron withdrawing groups.</w:t>
            </w:r>
          </w:p>
        </w:tc>
        <w:tc>
          <w:tcPr>
            <w:tcW w:w="62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:rsidR="000E43E0" w:rsidRPr="000E43E0" w:rsidRDefault="000E43E0" w:rsidP="000E43E0">
            <w:pPr>
              <w:spacing w:after="100" w:afterAutospacing="1" w:line="360" w:lineRule="auto"/>
              <w:ind w:left="2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3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Initiation and propagation are strongly affected by the reaction temperature. An increase in temperature almost always increases the rate of chain propagation but it also increases chain </w:t>
            </w:r>
            <w:proofErr w:type="spellStart"/>
            <w:r w:rsidRPr="000E43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transferand</w:t>
            </w:r>
            <w:proofErr w:type="spellEnd"/>
            <w:r w:rsidRPr="000E43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thus lowering the molecular weight.</w:t>
            </w:r>
          </w:p>
        </w:tc>
      </w:tr>
      <w:tr w:rsidR="000E43E0" w:rsidRPr="000E43E0" w:rsidTr="000E43E0">
        <w:trPr>
          <w:tblCellSpacing w:w="15" w:type="dxa"/>
          <w:jc w:val="center"/>
        </w:trPr>
        <w:tc>
          <w:tcPr>
            <w:tcW w:w="60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:rsidR="000E43E0" w:rsidRPr="000E43E0" w:rsidRDefault="000E43E0" w:rsidP="000E43E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2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:rsidR="000E43E0" w:rsidRPr="000E43E0" w:rsidRDefault="000E43E0" w:rsidP="000E43E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E43E0" w:rsidRPr="000E43E0" w:rsidTr="000E43E0">
        <w:trPr>
          <w:trHeight w:val="360"/>
          <w:tblCellSpacing w:w="15" w:type="dxa"/>
          <w:jc w:val="center"/>
        </w:trPr>
        <w:tc>
          <w:tcPr>
            <w:tcW w:w="60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:rsidR="000E43E0" w:rsidRPr="000E43E0" w:rsidRDefault="000E43E0" w:rsidP="000E43E0">
            <w:pPr>
              <w:spacing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3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Anionic polymerization reactions yield more regular polymers with less branching, more controlled </w:t>
            </w:r>
            <w:proofErr w:type="spellStart"/>
            <w:r w:rsidRPr="000E43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tacticity</w:t>
            </w:r>
            <w:proofErr w:type="spellEnd"/>
            <w:r w:rsidRPr="000E43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narrow molecular weight distribution.</w:t>
            </w:r>
          </w:p>
        </w:tc>
        <w:tc>
          <w:tcPr>
            <w:tcW w:w="62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:rsidR="000E43E0" w:rsidRPr="000E43E0" w:rsidRDefault="000E43E0" w:rsidP="000E43E0">
            <w:pPr>
              <w:spacing w:after="100" w:afterAutospacing="1" w:line="360" w:lineRule="auto"/>
              <w:ind w:left="2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3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degree of polymerization depends on the velocity constants of radical formation, chain growth, </w:t>
            </w:r>
            <w:proofErr w:type="gramStart"/>
            <w:r w:rsidRPr="000E43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chain</w:t>
            </w:r>
            <w:proofErr w:type="gramEnd"/>
            <w:r w:rsidRPr="000E43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transfer and chain termination.</w:t>
            </w:r>
          </w:p>
        </w:tc>
      </w:tr>
      <w:tr w:rsidR="000E43E0" w:rsidRPr="000E43E0" w:rsidTr="000E43E0">
        <w:trPr>
          <w:tblCellSpacing w:w="15" w:type="dxa"/>
          <w:jc w:val="center"/>
        </w:trPr>
        <w:tc>
          <w:tcPr>
            <w:tcW w:w="4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:rsidR="000E43E0" w:rsidRPr="000E43E0" w:rsidRDefault="000E43E0" w:rsidP="000E43E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:rsidR="000E43E0" w:rsidRPr="000E43E0" w:rsidRDefault="000E43E0" w:rsidP="000E43E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E43E0" w:rsidRPr="000E43E0" w:rsidTr="000E43E0">
        <w:trPr>
          <w:trHeight w:val="360"/>
          <w:tblCellSpacing w:w="15" w:type="dxa"/>
          <w:jc w:val="center"/>
        </w:trPr>
        <w:tc>
          <w:tcPr>
            <w:tcW w:w="4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:rsidR="000E43E0" w:rsidRPr="000E43E0" w:rsidRDefault="000E43E0" w:rsidP="000E43E0">
            <w:pPr>
              <w:spacing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3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Anionic polymerizations are difficult to carry out and are only used on an industrial scale if the monomer in question does not polymerize by free-radical mechanism or when polymers with regular structure are required. It is often the method of choice for the synthesis of </w:t>
            </w:r>
            <w:proofErr w:type="spellStart"/>
            <w:r w:rsidRPr="000E43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well defined</w:t>
            </w:r>
            <w:proofErr w:type="spellEnd"/>
            <w:r w:rsidRPr="000E43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block copolymers.</w:t>
            </w:r>
          </w:p>
        </w:tc>
        <w:tc>
          <w:tcPr>
            <w:tcW w:w="4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:rsidR="000E43E0" w:rsidRPr="000E43E0" w:rsidRDefault="000E43E0" w:rsidP="000E43E0">
            <w:pPr>
              <w:spacing w:after="100" w:afterAutospacing="1" w:line="360" w:lineRule="auto"/>
              <w:ind w:left="2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3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Free-radical polymerization is the most versatile type of chain-growth polymerization. Because of the non-specific nature of the free radicals towards vinyl monomers, many monomers can be copolymerized. However, well defined block copolymers are difficult to make and the MWD is broader.</w:t>
            </w:r>
          </w:p>
        </w:tc>
      </w:tr>
    </w:tbl>
    <w:p w:rsidR="004C1300" w:rsidRPr="000E43E0" w:rsidRDefault="004C1300" w:rsidP="000E43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C1300" w:rsidRPr="000E4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3E0"/>
    <w:rsid w:val="000E43E0"/>
    <w:rsid w:val="004C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51F0D-EFA3-4158-8FF6-DFD1E603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43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E43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43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E43E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E4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E43E0"/>
    <w:rPr>
      <w:b/>
      <w:bCs/>
    </w:rPr>
  </w:style>
  <w:style w:type="paragraph" w:customStyle="1" w:styleId="auto-style7">
    <w:name w:val="auto-style7"/>
    <w:basedOn w:val="Normal"/>
    <w:rsid w:val="000E4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Gautam</dc:creator>
  <cp:keywords/>
  <dc:description/>
  <cp:lastModifiedBy>Abhishek Gautam</cp:lastModifiedBy>
  <cp:revision>1</cp:revision>
  <dcterms:created xsi:type="dcterms:W3CDTF">2021-04-07T06:21:00Z</dcterms:created>
  <dcterms:modified xsi:type="dcterms:W3CDTF">2021-04-07T06:24:00Z</dcterms:modified>
</cp:coreProperties>
</file>