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MEDCORE HOSPITALS &amp; HEALTHCARE SERVICES PVT. LTD.</w:t>
        <w:br/>
      </w:r>
      <w:r>
        <w:rPr>
          <w:b/>
          <w:sz w:val="40"/>
        </w:rPr>
        <w:t>PURCHASE APPROVAL POLICY</w:t>
      </w:r>
    </w:p>
    <w:p>
      <w:pPr>
        <w:jc w:val="center"/>
      </w:pPr>
      <w:r>
        <w:t>Policy owner: Procurement &amp; Finance</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Document ID</w:t>
            </w:r>
          </w:p>
        </w:tc>
        <w:tc>
          <w:tcPr>
            <w:tcW w:type="dxa" w:w="4896"/>
          </w:tcPr>
          <w:p>
            <w:r>
              <w:t>MC-PR-003</w:t>
            </w:r>
          </w:p>
        </w:tc>
      </w:tr>
      <w:tr>
        <w:tc>
          <w:tcPr>
            <w:tcW w:type="dxa" w:w="4896"/>
          </w:tcPr>
          <w:p>
            <w:r>
              <w:rPr>
                <w:b/>
              </w:rPr>
              <w:t>Version</w:t>
            </w:r>
          </w:p>
        </w:tc>
        <w:tc>
          <w:tcPr>
            <w:tcW w:type="dxa" w:w="4896"/>
          </w:tcPr>
          <w:p>
            <w:r>
              <w:t>2.1</w:t>
            </w:r>
          </w:p>
        </w:tc>
      </w:tr>
      <w:tr>
        <w:tc>
          <w:tcPr>
            <w:tcW w:type="dxa" w:w="4896"/>
          </w:tcPr>
          <w:p>
            <w:r>
              <w:rPr>
                <w:b/>
              </w:rPr>
              <w:t>Effective Date</w:t>
            </w:r>
          </w:p>
        </w:tc>
        <w:tc>
          <w:tcPr>
            <w:tcW w:type="dxa" w:w="4896"/>
          </w:tcPr>
          <w:p>
            <w:r>
              <w:t>01 September 2026</w:t>
            </w:r>
          </w:p>
        </w:tc>
      </w:tr>
      <w:tr>
        <w:tc>
          <w:tcPr>
            <w:tcW w:type="dxa" w:w="4896"/>
          </w:tcPr>
          <w:p>
            <w:r>
              <w:rPr>
                <w:b/>
              </w:rPr>
              <w:t>Review Cycle</w:t>
            </w:r>
          </w:p>
        </w:tc>
        <w:tc>
          <w:tcPr>
            <w:tcW w:type="dxa" w:w="4896"/>
          </w:tcPr>
          <w:p>
            <w:r>
              <w:t>Annual</w:t>
            </w:r>
          </w:p>
        </w:tc>
      </w:tr>
      <w:tr>
        <w:tc>
          <w:tcPr>
            <w:tcW w:type="dxa" w:w="4896"/>
          </w:tcPr>
          <w:p>
            <w:r>
              <w:rPr>
                <w:b/>
              </w:rPr>
              <w:t>Classification</w:t>
            </w:r>
          </w:p>
        </w:tc>
        <w:tc>
          <w:tcPr>
            <w:tcW w:type="dxa" w:w="4896"/>
          </w:tcPr>
          <w:p>
            <w:r>
              <w:t>Internal — Confidential</w:t>
            </w:r>
          </w:p>
        </w:tc>
      </w:tr>
    </w:tbl>
    <w:p>
      <w:pPr>
        <w:pStyle w:val="Heading1"/>
      </w:pPr>
      <w:r>
        <w:t>1. Purpose</w:t>
      </w:r>
    </w:p>
    <w:p>
      <w:r>
        <w:t>This policy establishes approval requirements for purchases and commitments made on behalf of MedCore. Approval is intended to confirm business need, budget availability, appropriate sourcing and acceptance of relevant financial and operational risk.</w:t>
      </w:r>
    </w:p>
    <w:p>
      <w:pPr>
        <w:pStyle w:val="Heading1"/>
      </w:pPr>
      <w:r>
        <w:t>2. Scope</w:t>
      </w:r>
    </w:p>
    <w:p>
      <w:r>
        <w:t>The policy applies to purchase orders, contracts, subscriptions, services, equipment, consumables and other financial commitments made by MedCore departments.</w:t>
      </w:r>
    </w:p>
    <w:p>
      <w:pPr>
        <w:pStyle w:val="Heading1"/>
      </w:pPr>
      <w:r>
        <w:t>3. Approval Principles</w:t>
      </w:r>
    </w:p>
    <w:p>
      <w:pPr>
        <w:pStyle w:val="ListBullet"/>
      </w:pPr>
      <w:r>
        <w:t>Approval must occur before commitment to the supplier unless an approved exception applies.</w:t>
      </w:r>
    </w:p>
    <w:p>
      <w:pPr>
        <w:pStyle w:val="ListBullet"/>
      </w:pPr>
      <w:r>
        <w:t>The approver must have sufficient authority and must not approve their own personal benefit or an undeclared conflict.</w:t>
      </w:r>
    </w:p>
    <w:p>
      <w:pPr>
        <w:pStyle w:val="ListBullet"/>
      </w:pPr>
      <w:r>
        <w:t>Purchase values should be assessed on the appropriate aggregate basis; transactions must not be split to avoid a threshold.</w:t>
      </w:r>
    </w:p>
    <w:p>
      <w:pPr>
        <w:pStyle w:val="ListBullet"/>
      </w:pPr>
      <w:r>
        <w:t>Contractual commitments and renewals are subject to the applicable approval requirements even where there is no immediate invoice.</w:t>
      </w:r>
    </w:p>
    <w:p>
      <w:pPr>
        <w:pStyle w:val="Heading1"/>
      </w:pPr>
      <w:r>
        <w:t>4. Illustrative Approval Bands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Purchase value</w:t>
            </w:r>
          </w:p>
        </w:tc>
        <w:tc>
          <w:tcPr>
            <w:tcW w:type="dxa" w:w="3264"/>
          </w:tcPr>
          <w:p>
            <w:r>
              <w:rPr>
                <w:b/>
              </w:rPr>
              <w:t>Minimum approval route</w:t>
            </w:r>
          </w:p>
        </w:tc>
        <w:tc>
          <w:tcPr>
            <w:tcW w:type="dxa" w:w="3264"/>
          </w:tcPr>
          <w:p>
            <w:r>
              <w:rPr>
                <w:b/>
              </w:rPr>
              <w:t>Additional requirement</w:t>
            </w:r>
          </w:p>
        </w:tc>
      </w:tr>
      <w:tr>
        <w:tc>
          <w:tcPr>
            <w:tcW w:type="dxa" w:w="3264"/>
          </w:tcPr>
          <w:p>
            <w:r>
              <w:t>Up to ₹50,000</w:t>
            </w:r>
          </w:p>
        </w:tc>
        <w:tc>
          <w:tcPr>
            <w:tcW w:type="dxa" w:w="3264"/>
          </w:tcPr>
          <w:p>
            <w:r>
              <w:t>Department manager</w:t>
            </w:r>
          </w:p>
        </w:tc>
        <w:tc>
          <w:tcPr>
            <w:tcW w:type="dxa" w:w="3264"/>
          </w:tcPr>
          <w:p>
            <w:r>
              <w:t>Budget confirmation; approved purchasing route</w:t>
            </w:r>
          </w:p>
        </w:tc>
      </w:tr>
      <w:tr>
        <w:tc>
          <w:tcPr>
            <w:tcW w:type="dxa" w:w="3264"/>
          </w:tcPr>
          <w:p>
            <w:r>
              <w:t>₹50,001–₹2,50,000</w:t>
            </w:r>
          </w:p>
        </w:tc>
        <w:tc>
          <w:tcPr>
            <w:tcW w:type="dxa" w:w="3264"/>
          </w:tcPr>
          <w:p>
            <w:r>
              <w:t>Department head / designated budget owner</w:t>
            </w:r>
          </w:p>
        </w:tc>
        <w:tc>
          <w:tcPr>
            <w:tcW w:type="dxa" w:w="3264"/>
          </w:tcPr>
          <w:p>
            <w:r>
              <w:t>Procurement review where applicable</w:t>
            </w:r>
          </w:p>
        </w:tc>
      </w:tr>
      <w:tr>
        <w:tc>
          <w:tcPr>
            <w:tcW w:type="dxa" w:w="3264"/>
          </w:tcPr>
          <w:p>
            <w:r>
              <w:t>₹2,50,001–₹10,00,000</w:t>
            </w:r>
          </w:p>
        </w:tc>
        <w:tc>
          <w:tcPr>
            <w:tcW w:type="dxa" w:w="3264"/>
          </w:tcPr>
          <w:p>
            <w:r>
              <w:t>Functional head + Finance approval</w:t>
            </w:r>
          </w:p>
        </w:tc>
        <w:tc>
          <w:tcPr>
            <w:tcW w:type="dxa" w:w="3264"/>
          </w:tcPr>
          <w:p>
            <w:r>
              <w:t>Competitive sourcing or documented exception</w:t>
            </w:r>
          </w:p>
        </w:tc>
      </w:tr>
      <w:tr>
        <w:tc>
          <w:tcPr>
            <w:tcW w:type="dxa" w:w="3264"/>
          </w:tcPr>
          <w:p>
            <w:r>
              <w:t>Above ₹10,00,000</w:t>
            </w:r>
          </w:p>
        </w:tc>
        <w:tc>
          <w:tcPr>
            <w:tcW w:type="dxa" w:w="3264"/>
          </w:tcPr>
          <w:p>
            <w:r>
              <w:t>Executive / delegated authority + Finance</w:t>
            </w:r>
          </w:p>
        </w:tc>
        <w:tc>
          <w:tcPr>
            <w:tcW w:type="dxa" w:w="3264"/>
          </w:tcPr>
          <w:p>
            <w:r>
              <w:t>Procurement-led sourcing and contract review where applicable</w:t>
            </w:r>
          </w:p>
        </w:tc>
      </w:tr>
    </w:tbl>
    <w:p/>
    <w:p>
      <w:r>
        <w:t>The applicable delegation-of-authority schedule takes precedence if it sets a different threshold or approval route.</w:t>
      </w:r>
    </w:p>
    <w:p>
      <w:pPr>
        <w:pStyle w:val="Heading1"/>
      </w:pPr>
      <w:r>
        <w:t>5. Purchase Request</w:t>
      </w:r>
    </w:p>
    <w:p>
      <w:pPr>
        <w:pStyle w:val="ListBullet"/>
      </w:pPr>
      <w:r>
        <w:t>Requester defines the business need, specification, quantity, required date and budget/cost centre.</w:t>
      </w:r>
    </w:p>
    <w:p>
      <w:pPr>
        <w:pStyle w:val="ListBullet"/>
      </w:pPr>
      <w:r>
        <w:t>Procurement determines the sourcing approach and confirms whether an existing contract or approved supplier can be used.</w:t>
      </w:r>
    </w:p>
    <w:p>
      <w:pPr>
        <w:pStyle w:val="ListBullet"/>
      </w:pPr>
      <w:r>
        <w:t>Technical, clinical, security or legal reviews are obtained when required by the purchase category or risk.</w:t>
      </w:r>
    </w:p>
    <w:p>
      <w:pPr>
        <w:pStyle w:val="Heading1"/>
      </w:pPr>
      <w:r>
        <w:t>6. Quotation and Competitive Sourcing</w:t>
      </w:r>
    </w:p>
    <w:p>
      <w:r>
        <w:t>For material purchases, Procurement should obtain appropriate competitive quotations or proposals. Where competition is not practical, the requester must document the rationale for the selected supplier and obtain the required exception approval.</w:t>
      </w:r>
    </w:p>
    <w:p>
      <w:pPr>
        <w:pStyle w:val="Heading1"/>
      </w:pPr>
      <w:r>
        <w:t>7. Contract and Purchase Order Controls</w:t>
      </w:r>
    </w:p>
    <w:p>
      <w:r>
        <w:t>A purchase order or approved contract should be issued before goods or services are supplied. The document should accurately state supplier, scope, price, delivery/service terms and applicable conditions. Verbal commitments should not substitute for the required written approval.</w:t>
      </w:r>
    </w:p>
    <w:p>
      <w:pPr>
        <w:pStyle w:val="Heading1"/>
      </w:pPr>
      <w:r>
        <w:t>8. Emergency Purchases</w:t>
      </w:r>
    </w:p>
    <w:p>
      <w:r>
        <w:t>Emergency purchasing may be used when delay could materially affect patient care, safety, essential operations or critical infrastructure. The emergency reason and approvals must be documented, with subsequent regularization completed within the applicable control timeline.</w:t>
      </w:r>
    </w:p>
    <w:p>
      <w:pPr>
        <w:pStyle w:val="Heading1"/>
      </w:pPr>
      <w:r>
        <w:t>9. Changes, Renewals and Amendments</w:t>
      </w:r>
    </w:p>
    <w:p>
      <w:r>
        <w:t>Material changes to value, scope, term or supplier require reassessment and approval. A renewal should not be treated as automatically approved merely because the original purchase was approved.</w:t>
      </w:r>
    </w:p>
    <w:p>
      <w:pPr>
        <w:pStyle w:val="Heading1"/>
      </w:pPr>
      <w:r>
        <w:t>10. Segregation of Duties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Activity</w:t>
            </w:r>
          </w:p>
        </w:tc>
        <w:tc>
          <w:tcPr>
            <w:tcW w:type="dxa" w:w="4896"/>
          </w:tcPr>
          <w:p>
            <w:r>
              <w:rPr>
                <w:b/>
              </w:rPr>
              <w:t>Typical accountable function</w:t>
            </w:r>
          </w:p>
        </w:tc>
      </w:tr>
      <w:tr>
        <w:tc>
          <w:tcPr>
            <w:tcW w:type="dxa" w:w="4896"/>
          </w:tcPr>
          <w:p>
            <w:r>
              <w:t>Request / specification</w:t>
            </w:r>
          </w:p>
        </w:tc>
        <w:tc>
          <w:tcPr>
            <w:tcW w:type="dxa" w:w="4896"/>
          </w:tcPr>
          <w:p>
            <w:r>
              <w:t>Business department</w:t>
            </w:r>
          </w:p>
        </w:tc>
      </w:tr>
      <w:tr>
        <w:tc>
          <w:tcPr>
            <w:tcW w:type="dxa" w:w="4896"/>
          </w:tcPr>
          <w:p>
            <w:r>
              <w:t>Sourcing / supplier coordination</w:t>
            </w:r>
          </w:p>
        </w:tc>
        <w:tc>
          <w:tcPr>
            <w:tcW w:type="dxa" w:w="4896"/>
          </w:tcPr>
          <w:p>
            <w:r>
              <w:t>Procurement</w:t>
            </w:r>
          </w:p>
        </w:tc>
      </w:tr>
      <w:tr>
        <w:tc>
          <w:tcPr>
            <w:tcW w:type="dxa" w:w="4896"/>
          </w:tcPr>
          <w:p>
            <w:r>
              <w:t>Budget confirmation</w:t>
            </w:r>
          </w:p>
        </w:tc>
        <w:tc>
          <w:tcPr>
            <w:tcW w:type="dxa" w:w="4896"/>
          </w:tcPr>
          <w:p>
            <w:r>
              <w:t>Budget owner / Finance</w:t>
            </w:r>
          </w:p>
        </w:tc>
      </w:tr>
      <w:tr>
        <w:tc>
          <w:tcPr>
            <w:tcW w:type="dxa" w:w="4896"/>
          </w:tcPr>
          <w:p>
            <w:r>
              <w:t>Approval</w:t>
            </w:r>
          </w:p>
        </w:tc>
        <w:tc>
          <w:tcPr>
            <w:tcW w:type="dxa" w:w="4896"/>
          </w:tcPr>
          <w:p>
            <w:r>
              <w:t>Delegated authority</w:t>
            </w:r>
          </w:p>
        </w:tc>
      </w:tr>
      <w:tr>
        <w:tc>
          <w:tcPr>
            <w:tcW w:type="dxa" w:w="4896"/>
          </w:tcPr>
          <w:p>
            <w:r>
              <w:t>Supplier creation / payment setup</w:t>
            </w:r>
          </w:p>
        </w:tc>
        <w:tc>
          <w:tcPr>
            <w:tcW w:type="dxa" w:w="4896"/>
          </w:tcPr>
          <w:p>
            <w:r>
              <w:t>Finance</w:t>
            </w:r>
          </w:p>
        </w:tc>
      </w:tr>
      <w:tr>
        <w:tc>
          <w:tcPr>
            <w:tcW w:type="dxa" w:w="4896"/>
          </w:tcPr>
          <w:p>
            <w:r>
              <w:t>Receipt / service acceptance</w:t>
            </w:r>
          </w:p>
        </w:tc>
        <w:tc>
          <w:tcPr>
            <w:tcW w:type="dxa" w:w="4896"/>
          </w:tcPr>
          <w:p>
            <w:r>
              <w:t>Requesting department</w:t>
            </w:r>
          </w:p>
        </w:tc>
      </w:tr>
      <w:tr>
        <w:tc>
          <w:tcPr>
            <w:tcW w:type="dxa" w:w="4896"/>
          </w:tcPr>
          <w:p>
            <w:r>
              <w:t>Payment</w:t>
            </w:r>
          </w:p>
        </w:tc>
        <w:tc>
          <w:tcPr>
            <w:tcW w:type="dxa" w:w="4896"/>
          </w:tcPr>
          <w:p>
            <w:r>
              <w:t>Accounts Payable under finance controls</w:t>
            </w:r>
          </w:p>
        </w:tc>
      </w:tr>
    </w:tbl>
    <w:p/>
    <w:p>
      <w:pPr>
        <w:pStyle w:val="Heading1"/>
      </w:pPr>
      <w:r>
        <w:t>11. Records and Audit</w:t>
      </w:r>
    </w:p>
    <w:p>
      <w:r>
        <w:t>The approval record, sourcing evidence, purchase order or contract, receipt/acceptance evidence and material amendments should be retained in approved systems. Records must be retrievable for audit, financial review and supplier-management activities.</w:t>
      </w:r>
    </w:p>
    <w:p>
      <w:pPr>
        <w:pStyle w:val="Heading1"/>
      </w:pPr>
      <w:r>
        <w:t>12. Policy Review</w:t>
      </w:r>
    </w:p>
    <w:p>
      <w:r>
        <w:t>Procurement and Finance review this policy annually and after material changes to the delegation of authority, procurement workflow or financial control environment.</w:t>
      </w:r>
    </w:p>
    <w:p>
      <w:pPr>
        <w:pStyle w:val="Heading1"/>
      </w:pPr>
      <w:r>
        <w:t>Frequently Asked Questions</w:t>
      </w:r>
    </w:p>
    <w:p>
      <w:pPr>
        <w:pStyle w:val="Heading2"/>
      </w:pPr>
      <w:r>
        <w:t>Can I place the order first and seek approval later?</w:t>
      </w:r>
    </w:p>
    <w:p>
      <w:r>
        <w:t>Only through an approved emergency or exception process. Normal purchases require approval before commitment.</w:t>
      </w:r>
    </w:p>
    <w:p>
      <w:pPr>
        <w:pStyle w:val="Heading2"/>
      </w:pPr>
      <w:r>
        <w:t>What if an existing supplier offers a lower price directly?</w:t>
      </w:r>
    </w:p>
    <w:p>
      <w:r>
        <w:t>The purchase must still follow the applicable sourcing and approval process; a direct offer does not remove required controls.</w:t>
      </w:r>
    </w:p>
    <w:p>
      <w:pPr>
        <w:pStyle w:val="Heading2"/>
      </w:pPr>
      <w:r>
        <w:t>Do software subscriptions need approval?</w:t>
      </w:r>
    </w:p>
    <w:p>
      <w:r>
        <w:t>Yes. Subscriptions are commitments and may also require IT Security, privacy, licensing or contract review depending on the service.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Document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