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MedCore Hospitals &amp; Healthcare Services Pvt. Ltd.</w:t>
      </w:r>
    </w:p>
    <w:p>
      <w:pPr>
        <w:pStyle w:val="Title"/>
        <w:jc w:val="center"/>
      </w:pPr>
      <w:r>
        <w:t>Recruitment &amp; Onboarding Policy</w:t>
      </w:r>
    </w:p>
    <w:p>
      <w:pPr>
        <w:jc w:val="center"/>
      </w:pPr>
      <w:r>
        <w:rPr>
          <w:sz w:val="17"/>
        </w:rPr>
        <w:t>Document ID: HR-REC-003  |  Version: 1.0  |  Effective Date: 01 April 2026  |  Classification: Internal</w:t>
      </w:r>
    </w:p>
    <w:p>
      <w:pPr>
        <w:pStyle w:val="Heading1"/>
      </w:pPr>
      <w:r>
        <w:t>1. Purpose and Scope</w:t>
      </w:r>
    </w:p>
    <w:p>
      <w:pPr/>
      <w:r>
        <w:t>This policy establishes the recruitment and onboarding framework for MedCore Hospitals &amp; Healthcare Services Pvt. Ltd. It defines how a workforce requirement is converted into an approved position, how candidates are sourced and assessed, how selection decisions are documented, and how a selected candidate moves from offer acceptance to productive employment.</w:t>
      </w:r>
    </w:p>
    <w:p>
      <w:pPr/>
      <w:r>
        <w:t>The policy applies to permanent, probationary and fixed-term employees and provides the operating framework for trainees, interns and approved contractual personnel where their engagement refers to MedCore's recruitment process. Employment category, appointment terms and role requirements determine the documentation and approvals applicable to each appointment.</w:t>
      </w:r>
    </w:p>
    <w:p>
      <w:pPr/>
      <w:r>
        <w:t>Recruitment decisions must be based on the approved role, documented requirements, evidence collected during assessment and the applicable approval authority. A manager should not commit the organization to an appointment, compensation figure, joining date or employment arrangement before required approvals are complete.</w:t>
      </w:r>
    </w:p>
    <w:p>
      <w:pPr/>
      <w:r>
        <w:t>Onboarding begins before the first working day. It includes pre-joining documentation, verification where required, employee-master creation, policy acknowledgement, access provisioning, induction, role orientation and completion of mandatory joining activities.</w:t>
      </w:r>
    </w:p>
    <w:p>
      <w:pPr>
        <w:pStyle w:val="Heading1"/>
      </w:pPr>
      <w:r>
        <w:t>2. Workforce Planning and Recruitment Requisition</w:t>
      </w:r>
    </w:p>
    <w:p>
      <w:pPr/>
      <w:r>
        <w:t>Recruitment begins when a department identifies a new position, replacement requirement, approved expansion or time-bound staffing need. The hiring manager is responsible for explaining the business requirement and confirming that the position is included in the approved workforce plan or has received the required exception approval.</w:t>
      </w:r>
    </w:p>
    <w:p>
      <w:pPr>
        <w:pStyle w:val="Heading2"/>
      </w:pPr>
      <w:r>
        <w:t>2.1 Recruitment requisition</w:t>
      </w:r>
    </w:p>
    <w:p>
      <w:pPr>
        <w:pStyle w:val="PolicyBullet"/>
      </w:pPr>
      <w:r>
        <w:t>• The hiring manager submits a requisition identifying department, position title, reporting manager, employment category, location, reason for hiring and target joining date.</w:t>
      </w:r>
    </w:p>
    <w:p>
      <w:pPr>
        <w:pStyle w:val="PolicyBullet"/>
      </w:pPr>
      <w:r>
        <w:t>• The requisition must contain the approved job description, essential qualifications, relevant experience, responsibilities and mandatory role-specific requirements.</w:t>
      </w:r>
    </w:p>
    <w:p>
      <w:pPr>
        <w:pStyle w:val="PolicyBullet"/>
      </w:pPr>
      <w:r>
        <w:t>• Where the position is a replacement, the requisition should identify the vacancy type without disclosing unnecessary confidential employee information.</w:t>
      </w:r>
    </w:p>
    <w:p>
      <w:pPr>
        <w:pStyle w:val="PolicyBullet"/>
      </w:pPr>
      <w:r>
        <w:t>• HR reviews completeness, employment category, organizational fit and required approvals.</w:t>
      </w:r>
    </w:p>
    <w:p>
      <w:pPr>
        <w:pStyle w:val="PolicyBullet"/>
      </w:pPr>
      <w:r>
        <w:t>• A requisition becomes active only after the required business and HR approvals are recorded.</w:t>
      </w:r>
    </w:p>
    <w:p>
      <w:pPr>
        <w:pStyle w:val="Heading2"/>
      </w:pPr>
      <w:r>
        <w:t>2.2 Requisition validity and changes</w:t>
      </w:r>
    </w:p>
    <w:p>
      <w:pPr/>
      <w:r>
        <w:t>For the standard MedCore framework, a recruitment requisition remains open for 60 calendar days from approval unless HR extends, closes or reopens it. If the role changes materially during recruitment, the hiring manager and HR must reassess the requisition. A change in reporting line, employment category, location, core responsibilities or approved compensation range should not be treated as a minor edit when it could affect the candidate pool or selection criteria.</w:t>
      </w:r>
    </w:p>
    <w:p>
      <w:pPr>
        <w:pStyle w:val="Heading1"/>
      </w:pPr>
      <w:r>
        <w:t>3. Job Description and Candidate Requirements</w:t>
      </w:r>
    </w:p>
    <w:p>
      <w:pPr/>
      <w:r>
        <w:t>The job description is the reference point for sourcing and assessment. It should describe the work the employee is expected to perform rather than being written around an individual candidate. Requirements should be separated into essential and desirable criteria so interviewers can distinguish mandatory conditions from preferences.</w:t>
      </w:r>
    </w:p>
    <w:p>
      <w:pPr>
        <w:pStyle w:val="Heading2"/>
      </w:pPr>
      <w:r>
        <w:t>3.1 Minimum job description content</w:t>
      </w:r>
    </w:p>
    <w:p>
      <w:pPr>
        <w:pStyle w:val="PolicyBullet"/>
      </w:pPr>
      <w:r>
        <w:t>• Position title, department and reporting relationship.</w:t>
      </w:r>
    </w:p>
    <w:p>
      <w:pPr>
        <w:pStyle w:val="PolicyBullet"/>
      </w:pPr>
      <w:r>
        <w:t>• Primary work location and employment category.</w:t>
      </w:r>
    </w:p>
    <w:p>
      <w:pPr>
        <w:pStyle w:val="PolicyBullet"/>
      </w:pPr>
      <w:r>
        <w:t>• Purpose of the position and major responsibilities.</w:t>
      </w:r>
    </w:p>
    <w:p>
      <w:pPr>
        <w:pStyle w:val="PolicyBullet"/>
      </w:pPr>
      <w:r>
        <w:t>• Expected deliverables and role-specific performance requirements.</w:t>
      </w:r>
    </w:p>
    <w:p>
      <w:pPr>
        <w:pStyle w:val="PolicyBullet"/>
      </w:pPr>
      <w:r>
        <w:t>• Required educational qualification or professional credential, where relevant.</w:t>
      </w:r>
    </w:p>
    <w:p>
      <w:pPr>
        <w:pStyle w:val="PolicyBullet"/>
      </w:pPr>
      <w:r>
        <w:t>• Required experience, technical capability or role-specific exposure.</w:t>
      </w:r>
    </w:p>
    <w:p>
      <w:pPr>
        <w:pStyle w:val="PolicyBullet"/>
      </w:pPr>
      <w:r>
        <w:t>• Essential behavioral, communication or supervisory requirements.</w:t>
      </w:r>
    </w:p>
    <w:p>
      <w:pPr>
        <w:pStyle w:val="PolicyBullet"/>
      </w:pPr>
      <w:r>
        <w:t>• Shift, travel, roster, licensing or certification requirements that are genuinely necessary.</w:t>
      </w:r>
    </w:p>
    <w:p>
      <w:pPr>
        <w:pStyle w:val="PolicyBullet"/>
      </w:pPr>
      <w:r>
        <w:t>• Indicative level or grade used for internal compensation and approval.</w:t>
      </w:r>
    </w:p>
    <w:p>
      <w:pPr/>
      <w:r>
        <w:t>Selection criteria should be capable of being assessed through the recruitment process. A requirement that cannot be explained, verified or linked to the role should not be used as a hidden screening criterion. Hiring managers should avoid adding requirements after seeing a preferred candidate unless the revised requirement is approved and applied consistently to the active candidate pool.</w:t>
      </w:r>
    </w:p>
    <w:p>
      <w:pPr>
        <w:pStyle w:val="Heading1"/>
      </w:pPr>
      <w:r>
        <w:t>4. Sourcing and Candidate Management</w:t>
      </w:r>
    </w:p>
    <w:p>
      <w:pPr/>
      <w:r>
        <w:t>HR determines the sourcing approach with the hiring manager. Depending on the role, candidates may be sourced through internal movement, employee referrals, recruitment partners, professional platforms, institutional channels, direct applications or other approved methods.</w:t>
      </w:r>
    </w:p>
    <w:p>
      <w:pPr/>
      <w:r>
        <w:t>Candidate records should be maintained in the designated recruitment system or controlled HR repository. The record should allow HR to identify the position applied for, stage reached, assessment outcome and current status without relying on informal spreadsheets as the primary source.</w:t>
      </w:r>
    </w:p>
    <w:p>
      <w:pPr>
        <w:pStyle w:val="Heading2"/>
      </w:pPr>
      <w:r>
        <w:t>4.1 Candidate screening</w:t>
      </w:r>
    </w:p>
    <w:p>
      <w:pPr>
        <w:pStyle w:val="PolicyBullet"/>
      </w:pPr>
      <w:r>
        <w:t>• HR screens applications against the approved essential criteria before scheduling the next stage.</w:t>
      </w:r>
    </w:p>
    <w:p>
      <w:pPr>
        <w:pStyle w:val="PolicyBullet"/>
      </w:pPr>
      <w:r>
        <w:t>• Recruitment partners must receive the approved job requirements and candidate-submission instructions.</w:t>
      </w:r>
    </w:p>
    <w:p>
      <w:pPr>
        <w:pStyle w:val="PolicyBullet"/>
      </w:pPr>
      <w:r>
        <w:t>• Candidate information should be limited to what is relevant to recruitment and shared only with people involved in the hiring decision.</w:t>
      </w:r>
    </w:p>
    <w:p>
      <w:pPr>
        <w:pStyle w:val="PolicyBullet"/>
      </w:pPr>
      <w:r>
        <w:t>• A candidate who does not meet an essential requirement may be screened out unless HR and the hiring manager approve an exception.</w:t>
      </w:r>
    </w:p>
    <w:p>
      <w:pPr>
        <w:pStyle w:val="PolicyBullet"/>
      </w:pPr>
      <w:r>
        <w:t>• Candidate status should be updated promptly to avoid duplicate outreach or conflicting communication.</w:t>
      </w:r>
    </w:p>
    <w:p>
      <w:pPr>
        <w:pStyle w:val="Heading2"/>
      </w:pPr>
      <w:r>
        <w:t>4.2 Internal candidates</w:t>
      </w:r>
    </w:p>
    <w:p>
      <w:pPr/>
      <w:r>
        <w:t>Internal applicants are assessed against the requirements of the vacant position in the same structured process, while their existing employment record may be considered where the process permits. Internal movement is not effective merely because a manager has discussed a possible transfer; HR must complete the approved movement and appointment process.</w:t>
      </w:r>
    </w:p>
    <w:p>
      <w:pPr>
        <w:pStyle w:val="Heading1"/>
      </w:pPr>
      <w:r>
        <w:t>5. Selection and Assessment Process</w:t>
      </w:r>
    </w:p>
    <w:p>
      <w:pPr/>
      <w:r>
        <w:t>The selection process should collect enough evidence to support the hiring decision without creating unnecessary stages. The normal process consists of application screening, preliminary discussion, functional assessment, structured interview, final approval and reference or verification checks where required.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AEAEA"/>
          </w:tcPr>
          <w:p>
            <w:r>
              <w:rPr>
                <w:b/>
                <w:sz w:val="17"/>
              </w:rPr>
              <w:t>Stage</w:t>
            </w:r>
          </w:p>
        </w:tc>
        <w:tc>
          <w:tcPr>
            <w:tcW w:type="dxa" w:w="2541"/>
            <w:shd w:fill="EAEAEA"/>
          </w:tcPr>
          <w:p>
            <w:r>
              <w:rPr>
                <w:b/>
                <w:sz w:val="17"/>
              </w:rPr>
              <w:t>Primary owner</w:t>
            </w:r>
          </w:p>
        </w:tc>
        <w:tc>
          <w:tcPr>
            <w:tcW w:type="dxa" w:w="2541"/>
            <w:shd w:fill="EAEAEA"/>
          </w:tcPr>
          <w:p>
            <w:r>
              <w:rPr>
                <w:b/>
                <w:sz w:val="17"/>
              </w:rPr>
              <w:t>Purpose</w:t>
            </w:r>
          </w:p>
        </w:tc>
        <w:tc>
          <w:tcPr>
            <w:tcW w:type="dxa" w:w="2541"/>
            <w:shd w:fill="EAEAEA"/>
          </w:tcPr>
          <w:p>
            <w:r>
              <w:rPr>
                <w:b/>
                <w:sz w:val="17"/>
              </w:rPr>
              <w:t>Output</w:t>
            </w:r>
          </w:p>
        </w:tc>
      </w:tr>
      <w:tr>
        <w:tc>
          <w:tcPr>
            <w:tcW w:type="dxa" w:w="2541"/>
            <w:vAlign w:val="top"/>
          </w:tcPr>
          <w:p>
            <w:pPr>
              <w:spacing w:after="0"/>
            </w:pPr>
            <w:r>
              <w:rPr>
                <w:rFonts w:ascii="Arial" w:hAnsi="Arial"/>
                <w:sz w:val="16"/>
              </w:rPr>
              <w:t>Application screening</w:t>
            </w:r>
          </w:p>
        </w:tc>
        <w:tc>
          <w:tcPr>
            <w:tcW w:type="dxa" w:w="2541"/>
            <w:vAlign w:val="top"/>
          </w:tcPr>
          <w:p>
            <w:pPr>
              <w:spacing w:after="0"/>
            </w:pPr>
            <w:r>
              <w:rPr>
                <w:rFonts w:ascii="Arial" w:hAnsi="Arial"/>
                <w:sz w:val="16"/>
              </w:rPr>
              <w:t>HR</w:t>
            </w:r>
          </w:p>
        </w:tc>
        <w:tc>
          <w:tcPr>
            <w:tcW w:type="dxa" w:w="2541"/>
            <w:vAlign w:val="top"/>
          </w:tcPr>
          <w:p>
            <w:pPr>
              <w:spacing w:after="0"/>
            </w:pPr>
            <w:r>
              <w:rPr>
                <w:rFonts w:ascii="Arial" w:hAnsi="Arial"/>
                <w:sz w:val="16"/>
              </w:rPr>
              <w:t>Check essential criteria and basic eligibility.</w:t>
            </w:r>
          </w:p>
        </w:tc>
        <w:tc>
          <w:tcPr>
            <w:tcW w:type="dxa" w:w="2541"/>
            <w:vAlign w:val="top"/>
          </w:tcPr>
          <w:p>
            <w:pPr>
              <w:spacing w:after="0"/>
            </w:pPr>
            <w:r>
              <w:rPr>
                <w:rFonts w:ascii="Arial" w:hAnsi="Arial"/>
                <w:sz w:val="16"/>
              </w:rPr>
              <w:t>Shortlist</w:t>
            </w:r>
          </w:p>
        </w:tc>
      </w:tr>
      <w:tr>
        <w:tc>
          <w:tcPr>
            <w:tcW w:type="dxa" w:w="2541"/>
            <w:vAlign w:val="top"/>
          </w:tcPr>
          <w:p>
            <w:pPr>
              <w:spacing w:after="0"/>
            </w:pPr>
            <w:r>
              <w:rPr>
                <w:rFonts w:ascii="Arial" w:hAnsi="Arial"/>
                <w:sz w:val="16"/>
              </w:rPr>
              <w:t>Preliminary discussion</w:t>
            </w:r>
          </w:p>
        </w:tc>
        <w:tc>
          <w:tcPr>
            <w:tcW w:type="dxa" w:w="2541"/>
            <w:vAlign w:val="top"/>
          </w:tcPr>
          <w:p>
            <w:pPr>
              <w:spacing w:after="0"/>
            </w:pPr>
            <w:r>
              <w:rPr>
                <w:rFonts w:ascii="Arial" w:hAnsi="Arial"/>
                <w:sz w:val="16"/>
              </w:rPr>
              <w:t>HR / recruiter</w:t>
            </w:r>
          </w:p>
        </w:tc>
        <w:tc>
          <w:tcPr>
            <w:tcW w:type="dxa" w:w="2541"/>
            <w:vAlign w:val="top"/>
          </w:tcPr>
          <w:p>
            <w:pPr>
              <w:spacing w:after="0"/>
            </w:pPr>
            <w:r>
              <w:rPr>
                <w:rFonts w:ascii="Arial" w:hAnsi="Arial"/>
                <w:sz w:val="16"/>
              </w:rPr>
              <w:t>Confirm interest, availability, role understanding and basic fit.</w:t>
            </w:r>
          </w:p>
        </w:tc>
        <w:tc>
          <w:tcPr>
            <w:tcW w:type="dxa" w:w="2541"/>
            <w:vAlign w:val="top"/>
          </w:tcPr>
          <w:p>
            <w:pPr>
              <w:spacing w:after="0"/>
            </w:pPr>
            <w:r>
              <w:rPr>
                <w:rFonts w:ascii="Arial" w:hAnsi="Arial"/>
                <w:sz w:val="16"/>
              </w:rPr>
              <w:t>Screening notes</w:t>
            </w:r>
          </w:p>
        </w:tc>
      </w:tr>
      <w:tr>
        <w:tc>
          <w:tcPr>
            <w:tcW w:type="dxa" w:w="2541"/>
            <w:vAlign w:val="top"/>
          </w:tcPr>
          <w:p>
            <w:pPr>
              <w:spacing w:after="0"/>
            </w:pPr>
            <w:r>
              <w:rPr>
                <w:rFonts w:ascii="Arial" w:hAnsi="Arial"/>
                <w:sz w:val="16"/>
              </w:rPr>
              <w:t>Functional assessment</w:t>
            </w:r>
          </w:p>
        </w:tc>
        <w:tc>
          <w:tcPr>
            <w:tcW w:type="dxa" w:w="2541"/>
            <w:vAlign w:val="top"/>
          </w:tcPr>
          <w:p>
            <w:pPr>
              <w:spacing w:after="0"/>
            </w:pPr>
            <w:r>
              <w:rPr>
                <w:rFonts w:ascii="Arial" w:hAnsi="Arial"/>
                <w:sz w:val="16"/>
              </w:rPr>
              <w:t>Hiring function</w:t>
            </w:r>
          </w:p>
        </w:tc>
        <w:tc>
          <w:tcPr>
            <w:tcW w:type="dxa" w:w="2541"/>
            <w:vAlign w:val="top"/>
          </w:tcPr>
          <w:p>
            <w:pPr>
              <w:spacing w:after="0"/>
            </w:pPr>
            <w:r>
              <w:rPr>
                <w:rFonts w:ascii="Arial" w:hAnsi="Arial"/>
                <w:sz w:val="16"/>
              </w:rPr>
              <w:t>Evaluate role-specific knowledge or practical capability.</w:t>
            </w:r>
          </w:p>
        </w:tc>
        <w:tc>
          <w:tcPr>
            <w:tcW w:type="dxa" w:w="2541"/>
            <w:vAlign w:val="top"/>
          </w:tcPr>
          <w:p>
            <w:pPr>
              <w:spacing w:after="0"/>
            </w:pPr>
            <w:r>
              <w:rPr>
                <w:rFonts w:ascii="Arial" w:hAnsi="Arial"/>
                <w:sz w:val="16"/>
              </w:rPr>
              <w:t>Assessment result</w:t>
            </w:r>
          </w:p>
        </w:tc>
      </w:tr>
      <w:tr>
        <w:tc>
          <w:tcPr>
            <w:tcW w:type="dxa" w:w="2541"/>
            <w:vAlign w:val="top"/>
          </w:tcPr>
          <w:p>
            <w:pPr>
              <w:spacing w:after="0"/>
            </w:pPr>
            <w:r>
              <w:rPr>
                <w:rFonts w:ascii="Arial" w:hAnsi="Arial"/>
                <w:sz w:val="16"/>
              </w:rPr>
              <w:t>Structured interview</w:t>
            </w:r>
          </w:p>
        </w:tc>
        <w:tc>
          <w:tcPr>
            <w:tcW w:type="dxa" w:w="2541"/>
            <w:vAlign w:val="top"/>
          </w:tcPr>
          <w:p>
            <w:pPr>
              <w:spacing w:after="0"/>
            </w:pPr>
            <w:r>
              <w:rPr>
                <w:rFonts w:ascii="Arial" w:hAnsi="Arial"/>
                <w:sz w:val="16"/>
              </w:rPr>
              <w:t>Hiring manager / panel</w:t>
            </w:r>
          </w:p>
        </w:tc>
        <w:tc>
          <w:tcPr>
            <w:tcW w:type="dxa" w:w="2541"/>
            <w:vAlign w:val="top"/>
          </w:tcPr>
          <w:p>
            <w:pPr>
              <w:spacing w:after="0"/>
            </w:pPr>
            <w:r>
              <w:rPr>
                <w:rFonts w:ascii="Arial" w:hAnsi="Arial"/>
                <w:sz w:val="16"/>
              </w:rPr>
              <w:t>Assess experience, problem-solving, communication and role requirements.</w:t>
            </w:r>
          </w:p>
        </w:tc>
        <w:tc>
          <w:tcPr>
            <w:tcW w:type="dxa" w:w="2541"/>
            <w:vAlign w:val="top"/>
          </w:tcPr>
          <w:p>
            <w:pPr>
              <w:spacing w:after="0"/>
            </w:pPr>
            <w:r>
              <w:rPr>
                <w:rFonts w:ascii="Arial" w:hAnsi="Arial"/>
                <w:sz w:val="16"/>
              </w:rPr>
              <w:t>Interview record</w:t>
            </w:r>
          </w:p>
        </w:tc>
      </w:tr>
      <w:tr>
        <w:tc>
          <w:tcPr>
            <w:tcW w:type="dxa" w:w="2541"/>
            <w:vAlign w:val="top"/>
          </w:tcPr>
          <w:p>
            <w:pPr>
              <w:spacing w:after="0"/>
            </w:pPr>
            <w:r>
              <w:rPr>
                <w:rFonts w:ascii="Arial" w:hAnsi="Arial"/>
                <w:sz w:val="16"/>
              </w:rPr>
              <w:t>Final review</w:t>
            </w:r>
          </w:p>
        </w:tc>
        <w:tc>
          <w:tcPr>
            <w:tcW w:type="dxa" w:w="2541"/>
            <w:vAlign w:val="top"/>
          </w:tcPr>
          <w:p>
            <w:pPr>
              <w:spacing w:after="0"/>
            </w:pPr>
            <w:r>
              <w:rPr>
                <w:rFonts w:ascii="Arial" w:hAnsi="Arial"/>
                <w:sz w:val="16"/>
              </w:rPr>
              <w:t>Authorized approver</w:t>
            </w:r>
          </w:p>
        </w:tc>
        <w:tc>
          <w:tcPr>
            <w:tcW w:type="dxa" w:w="2541"/>
            <w:vAlign w:val="top"/>
          </w:tcPr>
          <w:p>
            <w:pPr>
              <w:spacing w:after="0"/>
            </w:pPr>
            <w:r>
              <w:rPr>
                <w:rFonts w:ascii="Arial" w:hAnsi="Arial"/>
                <w:sz w:val="16"/>
              </w:rPr>
              <w:t>Confirm selection and proposed employment terms.</w:t>
            </w:r>
          </w:p>
        </w:tc>
        <w:tc>
          <w:tcPr>
            <w:tcW w:type="dxa" w:w="2541"/>
            <w:vAlign w:val="top"/>
          </w:tcPr>
          <w:p>
            <w:pPr>
              <w:spacing w:after="0"/>
            </w:pPr>
            <w:r>
              <w:rPr>
                <w:rFonts w:ascii="Arial" w:hAnsi="Arial"/>
                <w:sz w:val="16"/>
              </w:rPr>
              <w:t>Selection approval</w:t>
            </w:r>
          </w:p>
        </w:tc>
      </w:tr>
      <w:tr>
        <w:tc>
          <w:tcPr>
            <w:tcW w:type="dxa" w:w="2541"/>
            <w:vAlign w:val="top"/>
          </w:tcPr>
          <w:p>
            <w:pPr>
              <w:spacing w:after="0"/>
            </w:pPr>
            <w:r>
              <w:rPr>
                <w:rFonts w:ascii="Arial" w:hAnsi="Arial"/>
                <w:sz w:val="16"/>
              </w:rPr>
              <w:t>Verification</w:t>
            </w:r>
          </w:p>
        </w:tc>
        <w:tc>
          <w:tcPr>
            <w:tcW w:type="dxa" w:w="2541"/>
            <w:vAlign w:val="top"/>
          </w:tcPr>
          <w:p>
            <w:pPr>
              <w:spacing w:after="0"/>
            </w:pPr>
            <w:r>
              <w:rPr>
                <w:rFonts w:ascii="Arial" w:hAnsi="Arial"/>
                <w:sz w:val="16"/>
              </w:rPr>
              <w:t>HR / approved provider</w:t>
            </w:r>
          </w:p>
        </w:tc>
        <w:tc>
          <w:tcPr>
            <w:tcW w:type="dxa" w:w="2541"/>
            <w:vAlign w:val="top"/>
          </w:tcPr>
          <w:p>
            <w:pPr>
              <w:spacing w:after="0"/>
            </w:pPr>
            <w:r>
              <w:rPr>
                <w:rFonts w:ascii="Arial" w:hAnsi="Arial"/>
                <w:sz w:val="16"/>
              </w:rPr>
              <w:t>Complete applicable checks before or after offer as permitted.</w:t>
            </w:r>
          </w:p>
        </w:tc>
        <w:tc>
          <w:tcPr>
            <w:tcW w:type="dxa" w:w="2541"/>
            <w:vAlign w:val="top"/>
          </w:tcPr>
          <w:p>
            <w:pPr>
              <w:spacing w:after="0"/>
            </w:pPr>
            <w:r>
              <w:rPr>
                <w:rFonts w:ascii="Arial" w:hAnsi="Arial"/>
                <w:sz w:val="16"/>
              </w:rPr>
              <w:t>Verification record</w:t>
            </w:r>
          </w:p>
        </w:tc>
      </w:tr>
    </w:tbl>
    <w:p>
      <w:pPr>
        <w:spacing w:after="0"/>
      </w:pPr>
    </w:p>
    <w:p>
      <w:pPr/>
      <w:r>
        <w:t>Interviewers should use the approved job requirements as the basis for questions. Notes should distinguish observed evidence from personal impressions. Questions unrelated to the role should not be used to make selection decisions. Where several interviewers participate, each should record an assessment before the final decision is documented.</w:t>
      </w:r>
    </w:p>
    <w:p>
      <w:pPr>
        <w:pStyle w:val="Heading1"/>
      </w:pPr>
      <w:r>
        <w:t>6. Interview Standards and Selection Decision</w:t>
      </w:r>
    </w:p>
    <w:p>
      <w:pPr/>
      <w:r>
        <w:t>The hiring manager is responsible for ensuring that assessment tests the capabilities required for successful performance. HR may provide interview guides or competency frameworks, while specialist functions may define role-specific questions or practical exercises.</w:t>
      </w:r>
    </w:p>
    <w:p>
      <w:pPr>
        <w:pStyle w:val="Heading2"/>
      </w:pPr>
      <w:r>
        <w:t>6.1 Structured evaluation</w:t>
      </w:r>
    </w:p>
    <w:p>
      <w:pPr>
        <w:pStyle w:val="PolicyBullet"/>
      </w:pPr>
      <w:r>
        <w:t>• Each interviewer should record evidence against assigned criteria rather than a general positive or negative impression.</w:t>
      </w:r>
    </w:p>
    <w:p>
      <w:pPr>
        <w:pStyle w:val="PolicyBullet"/>
      </w:pPr>
      <w:r>
        <w:t>• Technical assessments should be proportionate to the role and must not request confidential information from a candidate's current or former employer.</w:t>
      </w:r>
    </w:p>
    <w:p>
      <w:pPr>
        <w:pStyle w:val="PolicyBullet"/>
      </w:pPr>
      <w:r>
        <w:t>• Case exercises, presentations or written tests should have a stated purpose and reasonable completion requirement.</w:t>
      </w:r>
    </w:p>
    <w:p>
      <w:pPr>
        <w:pStyle w:val="PolicyBullet"/>
      </w:pPr>
      <w:r>
        <w:t>• Where a panel is used, members should submit or communicate their assessment before the final decision.</w:t>
      </w:r>
    </w:p>
    <w:p>
      <w:pPr>
        <w:pStyle w:val="PolicyBullet"/>
      </w:pPr>
      <w:r>
        <w:t>• If an assessment is inconclusive, an additional stage may be requested with HR's knowledge rather than creating an undocumented exception.</w:t>
      </w:r>
    </w:p>
    <w:p>
      <w:pPr>
        <w:pStyle w:val="Heading2"/>
      </w:pPr>
      <w:r>
        <w:t>6.2 Selection decision</w:t>
      </w:r>
    </w:p>
    <w:p>
      <w:pPr/>
      <w:r>
        <w:t>The selection record should identify the selected candidate, position, employment category, agreed compensation within the approved range, expected joining date and approving authority. The reason for selection should relate to job requirements and assessment evidence.</w:t>
      </w:r>
    </w:p>
    <w:p>
      <w:pPr/>
      <w:r>
        <w:t>If the preferred candidate declines or becomes unavailable, HR may move to another approved candidate from the same requisition or reopen the search. A materially different candidate profile should not be appointed against the original requisition without reviewing whether the role requirements remain appropriate.</w:t>
      </w:r>
    </w:p>
    <w:p>
      <w:pPr>
        <w:pStyle w:val="Heading1"/>
      </w:pPr>
      <w:r>
        <w:t>7. Reference, Background and Credential Verification</w:t>
      </w:r>
    </w:p>
    <w:p>
      <w:pPr/>
      <w:r>
        <w:t>Verification is used to confirm information that is material to employment and appropriate for the role. The scope should be proportionate to the position and handled through authorized HR channels.</w:t>
      </w:r>
    </w:p>
    <w:p>
      <w:pPr>
        <w:pStyle w:val="PolicyBullet"/>
      </w:pPr>
      <w:r>
        <w:t>• Identity and contact information may be verified as part of joining documentation.</w:t>
      </w:r>
    </w:p>
    <w:p>
      <w:pPr>
        <w:pStyle w:val="PolicyBullet"/>
      </w:pPr>
      <w:r>
        <w:t>• Educational or professional qualifications may be checked where stated as essential.</w:t>
      </w:r>
    </w:p>
    <w:p>
      <w:pPr>
        <w:pStyle w:val="PolicyBullet"/>
      </w:pPr>
      <w:r>
        <w:t>• Previous employment may be verified where the recruitment process requires it.</w:t>
      </w:r>
    </w:p>
    <w:p>
      <w:pPr>
        <w:pStyle w:val="PolicyBullet"/>
      </w:pPr>
      <w:r>
        <w:t>• Professional licenses, registrations or certifications must be verified where the role requires a valid credential.</w:t>
      </w:r>
    </w:p>
    <w:p>
      <w:pPr>
        <w:pStyle w:val="PolicyBullet"/>
      </w:pPr>
      <w:r>
        <w:t>• Additional background checks may be required for specified roles under an approved HR or compliance process.</w:t>
      </w:r>
    </w:p>
    <w:p>
      <w:pPr/>
      <w:r>
        <w:t>A material discrepancy should be documented and reviewed before a final employment decision is made. HR should give the candidate an appropriate opportunity to clarify information where the process requires clarification. Verification records must be restricted to authorized personnel.</w:t>
      </w:r>
    </w:p>
    <w:p>
      <w:pPr>
        <w:pStyle w:val="Heading1"/>
      </w:pPr>
      <w:r>
        <w:t>8. Offer Approval and Employment Terms</w:t>
      </w:r>
    </w:p>
    <w:p>
      <w:pPr/>
      <w:r>
        <w:t>An offer may be issued only after selection approval and confirmation of proposed employment terms. HR prepares the offer or appointment documentation using the approved position, employment category, compensation and joining information.</w:t>
      </w:r>
    </w:p>
    <w:p>
      <w:pPr>
        <w:pStyle w:val="Heading2"/>
      </w:pPr>
      <w:r>
        <w:t>8.1 Offer components</w:t>
      </w:r>
    </w:p>
    <w:p>
      <w:pPr>
        <w:pStyle w:val="PolicyBullet"/>
      </w:pPr>
      <w:r>
        <w:t>• Position title, department and reporting relationship.</w:t>
      </w:r>
    </w:p>
    <w:p>
      <w:pPr>
        <w:pStyle w:val="PolicyBullet"/>
      </w:pPr>
      <w:r>
        <w:t>• Employment category and applicable probation or fixed-term condition.</w:t>
      </w:r>
    </w:p>
    <w:p>
      <w:pPr>
        <w:pStyle w:val="PolicyBullet"/>
      </w:pPr>
      <w:r>
        <w:t>• Compensation structure and payment terms.</w:t>
      </w:r>
    </w:p>
    <w:p>
      <w:pPr>
        <w:pStyle w:val="PolicyBullet"/>
      </w:pPr>
      <w:r>
        <w:t>• Proposed joining date and work location.</w:t>
      </w:r>
    </w:p>
    <w:p>
      <w:pPr>
        <w:pStyle w:val="PolicyBullet"/>
      </w:pPr>
      <w:r>
        <w:t>• Working arrangement or roster requirements where relevant.</w:t>
      </w:r>
    </w:p>
    <w:p>
      <w:pPr>
        <w:pStyle w:val="PolicyBullet"/>
      </w:pPr>
      <w:r>
        <w:t>• Notice provisions and other material employment conditions.</w:t>
      </w:r>
    </w:p>
    <w:p>
      <w:pPr>
        <w:pStyle w:val="PolicyBullet"/>
      </w:pPr>
      <w:r>
        <w:t>• Documents required before or at joining.</w:t>
      </w:r>
    </w:p>
    <w:p>
      <w:pPr>
        <w:pStyle w:val="PolicyBullet"/>
      </w:pPr>
      <w:r>
        <w:t>• Reference to applicable organizational policies.</w:t>
      </w:r>
    </w:p>
    <w:p>
      <w:pPr/>
      <w:r>
        <w:t>For the standard MedCore framework, the normal probation period is six months from the joining date. The appointment letter remains the controlling document for the individual employee, including any specific notice provision or employment condition.</w:t>
      </w:r>
    </w:p>
    <w:p>
      <w:pPr/>
      <w:r>
        <w:t>HR should not represent an unapproved salary revision, special benefit, remote arrangement or joining concession as final. Any exception to approved terms must be documented through the relevant authority before it is included in the offer.</w:t>
      </w:r>
    </w:p>
    <w:p>
      <w:pPr>
        <w:pStyle w:val="Heading1"/>
      </w:pPr>
      <w:r>
        <w:t>9. Offer Acceptance and Pre-Joining Process</w:t>
      </w:r>
    </w:p>
    <w:p>
      <w:pPr/>
      <w:r>
        <w:t>After an offer is issued, HR maintains the candidate's status through acceptance, documentation and joining. The candidate should receive clear instructions about required documents, submission method and expected joining process.</w:t>
      </w:r>
    </w:p>
    <w:p>
      <w:pPr>
        <w:pStyle w:val="Heading2"/>
      </w:pPr>
      <w:r>
        <w:t>9.1 Pre-joining checklist</w:t>
      </w:r>
    </w:p>
    <w:p>
      <w:pPr>
        <w:pStyle w:val="PolicyBullet"/>
      </w:pPr>
      <w:r>
        <w:t>• Signed offer or appointment documentation, as applicable.</w:t>
      </w:r>
    </w:p>
    <w:p>
      <w:pPr>
        <w:pStyle w:val="PolicyBullet"/>
      </w:pPr>
      <w:r>
        <w:t>• Identity and address documentation required for employee records.</w:t>
      </w:r>
    </w:p>
    <w:p>
      <w:pPr>
        <w:pStyle w:val="PolicyBullet"/>
      </w:pPr>
      <w:r>
        <w:t>• Education and experience documents relevant to the role.</w:t>
      </w:r>
    </w:p>
    <w:p>
      <w:pPr>
        <w:pStyle w:val="PolicyBullet"/>
      </w:pPr>
      <w:r>
        <w:t>• Bank or payroll information required for salary processing.</w:t>
      </w:r>
    </w:p>
    <w:p>
      <w:pPr>
        <w:pStyle w:val="PolicyBullet"/>
      </w:pPr>
      <w:r>
        <w:t>• Emergency contact information.</w:t>
      </w:r>
    </w:p>
    <w:p>
      <w:pPr>
        <w:pStyle w:val="PolicyBullet"/>
      </w:pPr>
      <w:r>
        <w:t>• Identification information required by the organization's process.</w:t>
      </w:r>
    </w:p>
    <w:p>
      <w:pPr>
        <w:pStyle w:val="PolicyBullet"/>
      </w:pPr>
      <w:r>
        <w:t>• Role-specific licenses, registrations or certificates where applicable.</w:t>
      </w:r>
    </w:p>
    <w:p>
      <w:pPr>
        <w:pStyle w:val="PolicyBullet"/>
      </w:pPr>
      <w:r>
        <w:t>• Required policy acknowledgements and declarations.</w:t>
      </w:r>
    </w:p>
    <w:p>
      <w:pPr/>
      <w:r>
        <w:t>Documents should be collected through the designated HR channel. Sensitive records should not be routed through uncontrolled personal channels when an approved system is available.</w:t>
      </w:r>
    </w:p>
    <w:p>
      <w:pPr/>
      <w:r>
        <w:t>If a candidate requests a joining-date change, HR should confirm the request with the hiring manager and revise the approved joining information before the employee is treated as having joined on the new date.</w:t>
      </w:r>
    </w:p>
    <w:p>
      <w:pPr>
        <w:pStyle w:val="Heading1"/>
      </w:pPr>
      <w:r>
        <w:t>10. Joining Day and Employee Master Creation</w:t>
      </w:r>
    </w:p>
    <w:p>
      <w:pPr/>
      <w:r>
        <w:t>The joining date is the date on which the employee is formally recorded as commencing employment under the appointment documentation. HR creates or activates the employee master record after required joining documents and approvals have been received.</w:t>
      </w:r>
    </w:p>
    <w:p>
      <w:pPr/>
      <w:r>
        <w:t>The employee master record should contain the minimum information required to administer employment, including employee identifier, name, department, position, reporting manager, employment category, joining date and payroll-related information. Access to the record is role-based.</w:t>
      </w:r>
    </w:p>
    <w:p>
      <w:pPr>
        <w:pStyle w:val="Heading2"/>
      </w:pPr>
      <w:r>
        <w:t>10.1 First-day process</w:t>
      </w:r>
    </w:p>
    <w:p>
      <w:pPr>
        <w:pStyle w:val="PolicyBullet"/>
      </w:pPr>
      <w:r>
        <w:t>• HR verifies the joining checklist and confirms the employee's status.</w:t>
      </w:r>
    </w:p>
    <w:p>
      <w:pPr>
        <w:pStyle w:val="PolicyBullet"/>
      </w:pPr>
      <w:r>
        <w:t>• The employee receives orientation covering organizational structure, key policies, attendance, leave, conduct, confidentiality and HR channels.</w:t>
      </w:r>
    </w:p>
    <w:p>
      <w:pPr>
        <w:pStyle w:val="PolicyBullet"/>
      </w:pPr>
      <w:r>
        <w:t>• The reporting manager explains the role, immediate priorities, team structure and expected working arrangements.</w:t>
      </w:r>
    </w:p>
    <w:p>
      <w:pPr>
        <w:pStyle w:val="PolicyBullet"/>
      </w:pPr>
      <w:r>
        <w:t>• IT or the authorized administrator initiates approved system access based on the role and access matrix.</w:t>
      </w:r>
    </w:p>
    <w:p>
      <w:pPr>
        <w:pStyle w:val="PolicyBullet"/>
      </w:pPr>
      <w:r>
        <w:t>• The employee acknowledges required policies and completes mandatory joining forms.</w:t>
      </w:r>
    </w:p>
    <w:p>
      <w:pPr>
        <w:pStyle w:val="PolicyBullet"/>
      </w:pPr>
      <w:r>
        <w:t>• HR confirms incomplete items and assigns a deadline for closure.</w:t>
      </w:r>
    </w:p>
    <w:p>
      <w:pPr/>
      <w:r>
        <w:t>A new employee should not receive unrestricted system access merely because they have joined. Access should be provisioned according to the approved role and departmental requirements.</w:t>
      </w:r>
    </w:p>
    <w:p>
      <w:pPr>
        <w:pStyle w:val="Heading1"/>
      </w:pPr>
      <w:r>
        <w:t>11. Induction and Role Onboarding</w:t>
      </w:r>
    </w:p>
    <w:p>
      <w:pPr/>
      <w:r>
        <w:t>Induction introduces the employee to MedCore's operating environment, while role onboarding establishes the practical knowledge required to perform the position. The two activities may occur together but should be tracked separately so completion of general orientation is not mistaken for role readiness.</w:t>
      </w:r>
    </w:p>
    <w:p>
      <w:pPr>
        <w:pStyle w:val="Heading2"/>
      </w:pPr>
      <w:r>
        <w:t>11.1 Organization-level induction</w:t>
      </w:r>
    </w:p>
    <w:p>
      <w:pPr>
        <w:pStyle w:val="PolicyBullet"/>
      </w:pPr>
      <w:r>
        <w:t>• Organization structure and major functions.</w:t>
      </w:r>
    </w:p>
    <w:p>
      <w:pPr>
        <w:pStyle w:val="PolicyBullet"/>
      </w:pPr>
      <w:r>
        <w:t>• Employee conduct and workplace expectations.</w:t>
      </w:r>
    </w:p>
    <w:p>
      <w:pPr>
        <w:pStyle w:val="PolicyBullet"/>
      </w:pPr>
      <w:r>
        <w:t>• Attendance and leave processes.</w:t>
      </w:r>
    </w:p>
    <w:p>
      <w:pPr>
        <w:pStyle w:val="PolicyBullet"/>
      </w:pPr>
      <w:r>
        <w:t>• Payroll and benefits orientation.</w:t>
      </w:r>
    </w:p>
    <w:p>
      <w:pPr>
        <w:pStyle w:val="PolicyBullet"/>
      </w:pPr>
      <w:r>
        <w:t>• Confidentiality, data handling and information security.</w:t>
      </w:r>
    </w:p>
    <w:p>
      <w:pPr>
        <w:pStyle w:val="PolicyBullet"/>
      </w:pPr>
      <w:r>
        <w:t>• Health, safety and emergency arrangements.</w:t>
      </w:r>
    </w:p>
    <w:p>
      <w:pPr>
        <w:pStyle w:val="PolicyBullet"/>
      </w:pPr>
      <w:r>
        <w:t>• Complaint, grievance and speak-up channels.</w:t>
      </w:r>
    </w:p>
    <w:p>
      <w:pPr>
        <w:pStyle w:val="PolicyBullet"/>
      </w:pPr>
      <w:r>
        <w:t>• Mandatory training and learning requirements.</w:t>
      </w:r>
    </w:p>
    <w:p>
      <w:pPr>
        <w:pStyle w:val="Heading2"/>
      </w:pPr>
      <w:r>
        <w:t>11.2 Department and role orientation</w:t>
      </w:r>
    </w:p>
    <w:p>
      <w:pPr>
        <w:pStyle w:val="PolicyBullet"/>
      </w:pPr>
      <w:r>
        <w:t>• Role objectives and initial deliverables.</w:t>
      </w:r>
    </w:p>
    <w:p>
      <w:pPr>
        <w:pStyle w:val="PolicyBullet"/>
      </w:pPr>
      <w:r>
        <w:t>• Reporting lines and key internal contacts.</w:t>
      </w:r>
    </w:p>
    <w:p>
      <w:pPr>
        <w:pStyle w:val="PolicyBullet"/>
      </w:pPr>
      <w:r>
        <w:t>• Department procedures and controlled documents.</w:t>
      </w:r>
    </w:p>
    <w:p>
      <w:pPr>
        <w:pStyle w:val="PolicyBullet"/>
      </w:pPr>
      <w:r>
        <w:t>• Systems, applications and approved tools.</w:t>
      </w:r>
    </w:p>
    <w:p>
      <w:pPr>
        <w:pStyle w:val="PolicyBullet"/>
      </w:pPr>
      <w:r>
        <w:t>• Role-specific safety or compliance requirements.</w:t>
      </w:r>
    </w:p>
    <w:p>
      <w:pPr>
        <w:pStyle w:val="PolicyBullet"/>
      </w:pPr>
      <w:r>
        <w:t>• Performance expectations and review milestones.</w:t>
      </w:r>
    </w:p>
    <w:p>
      <w:pPr>
        <w:pStyle w:val="PolicyBullet"/>
      </w:pPr>
      <w:r>
        <w:t>• Escalation routes for operational questions.</w:t>
      </w:r>
    </w:p>
    <w:p>
      <w:pPr/>
      <w:r>
        <w:t>The manager should provide an initial 30-day onboarding plan for new employees in ongoing roles. The plan should identify priority tasks, required training, key meetings and the person responsible for answering role-specific questions.</w:t>
      </w:r>
    </w:p>
    <w:p>
      <w:pPr>
        <w:pStyle w:val="Heading1"/>
      </w:pPr>
      <w:r>
        <w:t>12. Probation and Confirmation</w:t>
      </w:r>
    </w:p>
    <w:p>
      <w:pPr/>
      <w:r>
        <w:t>Probation is used to assess whether the employee can perform the role to the expected standard and operate effectively within the organization. It is not intended to be a period without feedback. Managers should communicate expectations early and address material gaps during probation.</w:t>
      </w:r>
    </w:p>
    <w:p>
      <w:pPr/>
      <w:r>
        <w:t>For MedCore's standard framework, probation is six months from the joining date. HR should track the expected confirmation date and initiate the review sufficiently in advance.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AEAEA"/>
          </w:tcPr>
          <w:p>
            <w:r>
              <w:rPr>
                <w:b/>
                <w:sz w:val="17"/>
              </w:rPr>
              <w:t>Review point</w:t>
            </w:r>
          </w:p>
        </w:tc>
        <w:tc>
          <w:tcPr>
            <w:tcW w:type="dxa" w:w="3389"/>
            <w:shd w:fill="EAEAEA"/>
          </w:tcPr>
          <w:p>
            <w:r>
              <w:rPr>
                <w:b/>
                <w:sz w:val="17"/>
              </w:rPr>
              <w:t>Manager responsibility</w:t>
            </w:r>
          </w:p>
        </w:tc>
        <w:tc>
          <w:tcPr>
            <w:tcW w:type="dxa" w:w="3389"/>
            <w:shd w:fill="EAEAEA"/>
          </w:tcPr>
          <w:p>
            <w:r>
              <w:rPr>
                <w:b/>
                <w:sz w:val="17"/>
              </w:rPr>
              <w:t>HR responsibility</w:t>
            </w:r>
          </w:p>
        </w:tc>
      </w:tr>
      <w:tr>
        <w:tc>
          <w:tcPr>
            <w:tcW w:type="dxa" w:w="3389"/>
            <w:vAlign w:val="top"/>
          </w:tcPr>
          <w:p>
            <w:pPr>
              <w:spacing w:after="0"/>
            </w:pPr>
            <w:r>
              <w:rPr>
                <w:rFonts w:ascii="Arial" w:hAnsi="Arial"/>
                <w:sz w:val="16"/>
              </w:rPr>
              <w:t>First 30 days</w:t>
            </w:r>
          </w:p>
        </w:tc>
        <w:tc>
          <w:tcPr>
            <w:tcW w:type="dxa" w:w="3389"/>
            <w:vAlign w:val="top"/>
          </w:tcPr>
          <w:p>
            <w:pPr>
              <w:spacing w:after="0"/>
            </w:pPr>
            <w:r>
              <w:rPr>
                <w:rFonts w:ascii="Arial" w:hAnsi="Arial"/>
                <w:sz w:val="16"/>
              </w:rPr>
              <w:t>Confirm role understanding, priorities and immediate support needs.</w:t>
            </w:r>
          </w:p>
        </w:tc>
        <w:tc>
          <w:tcPr>
            <w:tcW w:type="dxa" w:w="3389"/>
            <w:vAlign w:val="top"/>
          </w:tcPr>
          <w:p>
            <w:pPr>
              <w:spacing w:after="0"/>
            </w:pPr>
            <w:r>
              <w:rPr>
                <w:rFonts w:ascii="Arial" w:hAnsi="Arial"/>
                <w:sz w:val="16"/>
              </w:rPr>
              <w:t>Check that core onboarding activities are complete.</w:t>
            </w:r>
          </w:p>
        </w:tc>
      </w:tr>
      <w:tr>
        <w:tc>
          <w:tcPr>
            <w:tcW w:type="dxa" w:w="3389"/>
            <w:vAlign w:val="top"/>
          </w:tcPr>
          <w:p>
            <w:pPr>
              <w:spacing w:after="0"/>
            </w:pPr>
            <w:r>
              <w:rPr>
                <w:rFonts w:ascii="Arial" w:hAnsi="Arial"/>
                <w:sz w:val="16"/>
              </w:rPr>
              <w:t>Around 90 days</w:t>
            </w:r>
          </w:p>
        </w:tc>
        <w:tc>
          <w:tcPr>
            <w:tcW w:type="dxa" w:w="3389"/>
            <w:vAlign w:val="top"/>
          </w:tcPr>
          <w:p>
            <w:pPr>
              <w:spacing w:after="0"/>
            </w:pPr>
            <w:r>
              <w:rPr>
                <w:rFonts w:ascii="Arial" w:hAnsi="Arial"/>
                <w:sz w:val="16"/>
              </w:rPr>
              <w:t>Review progress, capability gaps and role integration.</w:t>
            </w:r>
          </w:p>
        </w:tc>
        <w:tc>
          <w:tcPr>
            <w:tcW w:type="dxa" w:w="3389"/>
            <w:vAlign w:val="top"/>
          </w:tcPr>
          <w:p>
            <w:pPr>
              <w:spacing w:after="0"/>
            </w:pPr>
            <w:r>
              <w:rPr>
                <w:rFonts w:ascii="Arial" w:hAnsi="Arial"/>
                <w:sz w:val="16"/>
              </w:rPr>
              <w:t>Monitor outstanding probation actions where required.</w:t>
            </w:r>
          </w:p>
        </w:tc>
      </w:tr>
      <w:tr>
        <w:tc>
          <w:tcPr>
            <w:tcW w:type="dxa" w:w="3389"/>
            <w:vAlign w:val="top"/>
          </w:tcPr>
          <w:p>
            <w:pPr>
              <w:spacing w:after="0"/>
            </w:pPr>
            <w:r>
              <w:rPr>
                <w:rFonts w:ascii="Arial" w:hAnsi="Arial"/>
                <w:sz w:val="16"/>
              </w:rPr>
              <w:t>Before month 6</w:t>
            </w:r>
          </w:p>
        </w:tc>
        <w:tc>
          <w:tcPr>
            <w:tcW w:type="dxa" w:w="3389"/>
            <w:vAlign w:val="top"/>
          </w:tcPr>
          <w:p>
            <w:pPr>
              <w:spacing w:after="0"/>
            </w:pPr>
            <w:r>
              <w:rPr>
                <w:rFonts w:ascii="Arial" w:hAnsi="Arial"/>
                <w:sz w:val="16"/>
              </w:rPr>
              <w:t>Submit documented recommendation for confirmation, extension or separation.</w:t>
            </w:r>
          </w:p>
        </w:tc>
        <w:tc>
          <w:tcPr>
            <w:tcW w:type="dxa" w:w="3389"/>
            <w:vAlign w:val="top"/>
          </w:tcPr>
          <w:p>
            <w:pPr>
              <w:spacing w:after="0"/>
            </w:pPr>
            <w:r>
              <w:rPr>
                <w:rFonts w:ascii="Arial" w:hAnsi="Arial"/>
                <w:sz w:val="16"/>
              </w:rPr>
              <w:t>Review recommendation and record approved outcome.</w:t>
            </w:r>
          </w:p>
        </w:tc>
      </w:tr>
    </w:tbl>
    <w:p>
      <w:pPr>
        <w:spacing w:after="0"/>
      </w:pPr>
    </w:p>
    <w:p>
      <w:pPr/>
      <w:r>
        <w:t>Where concerns remain unresolved, the manager may recommend probation extension with HR review. An extension should state the areas requiring improvement, expected standards and review date. Employees should receive clear communication of the decision.</w:t>
      </w:r>
    </w:p>
    <w:p>
      <w:pPr>
        <w:pStyle w:val="Heading1"/>
      </w:pPr>
      <w:r>
        <w:t>13. Responsibilities Across HR, Managers and Support Functions</w:t>
      </w:r>
    </w:p>
    <w:p>
      <w:pPr/>
      <w:r>
        <w:t>Recruitment and onboarding require coordination between HR, the hiring manager, IT, Administration, Finance/Payroll and other specialist functions. Responsibilities should be clear enough that an incomplete handoff does not leave the employee without required access, records or orientation.</w:t>
      </w:r>
    </w:p>
    <w:tbl>
      <w:tblPr>
        <w:tblStyle w:val="TableGrid"/>
        <w:tblW w:type="auto" w:w="0"/>
        <w:jc w:val="center"/>
        <w:tblLook w:firstColumn="1" w:firstRow="1" w:lastColumn="0" w:lastRow="0" w:noHBand="0" w:noVBand="1" w:val="04A0"/>
      </w:tblPr>
      <w:tblGrid>
        <w:gridCol w:w="5083"/>
        <w:gridCol w:w="5083"/>
      </w:tblGrid>
      <w:tr>
        <w:tc>
          <w:tcPr>
            <w:tcW w:type="dxa" w:w="5083"/>
            <w:shd w:fill="EAEAEA"/>
          </w:tcPr>
          <w:p>
            <w:r>
              <w:rPr>
                <w:b/>
                <w:sz w:val="17"/>
              </w:rPr>
              <w:t>Function</w:t>
            </w:r>
          </w:p>
        </w:tc>
        <w:tc>
          <w:tcPr>
            <w:tcW w:type="dxa" w:w="5083"/>
            <w:shd w:fill="EAEAEA"/>
          </w:tcPr>
          <w:p>
            <w:r>
              <w:rPr>
                <w:b/>
                <w:sz w:val="17"/>
              </w:rPr>
              <w:t>Key responsibilities</w:t>
            </w:r>
          </w:p>
        </w:tc>
      </w:tr>
      <w:tr>
        <w:tc>
          <w:tcPr>
            <w:tcW w:type="dxa" w:w="5083"/>
            <w:vAlign w:val="top"/>
          </w:tcPr>
          <w:p>
            <w:pPr>
              <w:spacing w:after="0"/>
            </w:pPr>
            <w:r>
              <w:rPr>
                <w:rFonts w:ascii="Arial" w:hAnsi="Arial"/>
                <w:sz w:val="16"/>
              </w:rPr>
              <w:t>HR &amp; Administration</w:t>
            </w:r>
          </w:p>
        </w:tc>
        <w:tc>
          <w:tcPr>
            <w:tcW w:type="dxa" w:w="5083"/>
            <w:vAlign w:val="top"/>
          </w:tcPr>
          <w:p>
            <w:pPr>
              <w:spacing w:after="0"/>
            </w:pPr>
            <w:r>
              <w:rPr>
                <w:rFonts w:ascii="Arial" w:hAnsi="Arial"/>
                <w:sz w:val="16"/>
              </w:rPr>
              <w:t>Recruitment process, records, offer documentation, joining checklist, employee master data, policy acknowledgement, induction and probation tracking.</w:t>
            </w:r>
          </w:p>
        </w:tc>
      </w:tr>
      <w:tr>
        <w:tc>
          <w:tcPr>
            <w:tcW w:type="dxa" w:w="5083"/>
            <w:vAlign w:val="top"/>
          </w:tcPr>
          <w:p>
            <w:pPr>
              <w:spacing w:after="0"/>
            </w:pPr>
            <w:r>
              <w:rPr>
                <w:rFonts w:ascii="Arial" w:hAnsi="Arial"/>
                <w:sz w:val="16"/>
              </w:rPr>
              <w:t>Hiring Manager</w:t>
            </w:r>
          </w:p>
        </w:tc>
        <w:tc>
          <w:tcPr>
            <w:tcW w:type="dxa" w:w="5083"/>
            <w:vAlign w:val="top"/>
          </w:tcPr>
          <w:p>
            <w:pPr>
              <w:spacing w:after="0"/>
            </w:pPr>
            <w:r>
              <w:rPr>
                <w:rFonts w:ascii="Arial" w:hAnsi="Arial"/>
                <w:sz w:val="16"/>
              </w:rPr>
              <w:t>Workforce justification, job requirements, interview participation, selection recommendation, role orientation, initial objectives and probation feedback.</w:t>
            </w:r>
          </w:p>
        </w:tc>
      </w:tr>
      <w:tr>
        <w:tc>
          <w:tcPr>
            <w:tcW w:type="dxa" w:w="5083"/>
            <w:vAlign w:val="top"/>
          </w:tcPr>
          <w:p>
            <w:pPr>
              <w:spacing w:after="0"/>
            </w:pPr>
            <w:r>
              <w:rPr>
                <w:rFonts w:ascii="Arial" w:hAnsi="Arial"/>
                <w:sz w:val="16"/>
              </w:rPr>
              <w:t>IT / Information Security</w:t>
            </w:r>
          </w:p>
        </w:tc>
        <w:tc>
          <w:tcPr>
            <w:tcW w:type="dxa" w:w="5083"/>
            <w:vAlign w:val="top"/>
          </w:tcPr>
          <w:p>
            <w:pPr>
              <w:spacing w:after="0"/>
            </w:pPr>
            <w:r>
              <w:rPr>
                <w:rFonts w:ascii="Arial" w:hAnsi="Arial"/>
                <w:sz w:val="16"/>
              </w:rPr>
              <w:t>Role-based account and system provisioning, device allocation where applicable, security controls and access closure when required.</w:t>
            </w:r>
          </w:p>
        </w:tc>
      </w:tr>
      <w:tr>
        <w:tc>
          <w:tcPr>
            <w:tcW w:type="dxa" w:w="5083"/>
            <w:vAlign w:val="top"/>
          </w:tcPr>
          <w:p>
            <w:pPr>
              <w:spacing w:after="0"/>
            </w:pPr>
            <w:r>
              <w:rPr>
                <w:rFonts w:ascii="Arial" w:hAnsi="Arial"/>
                <w:sz w:val="16"/>
              </w:rPr>
              <w:t>Finance / Payroll</w:t>
            </w:r>
          </w:p>
        </w:tc>
        <w:tc>
          <w:tcPr>
            <w:tcW w:type="dxa" w:w="5083"/>
            <w:vAlign w:val="top"/>
          </w:tcPr>
          <w:p>
            <w:pPr>
              <w:spacing w:after="0"/>
            </w:pPr>
            <w:r>
              <w:rPr>
                <w:rFonts w:ascii="Arial" w:hAnsi="Arial"/>
                <w:sz w:val="16"/>
              </w:rPr>
              <w:t>Payroll setup, bank-data processing, compensation inputs and coordination of payroll-related joining requirements.</w:t>
            </w:r>
          </w:p>
        </w:tc>
      </w:tr>
      <w:tr>
        <w:tc>
          <w:tcPr>
            <w:tcW w:type="dxa" w:w="5083"/>
            <w:vAlign w:val="top"/>
          </w:tcPr>
          <w:p>
            <w:pPr>
              <w:spacing w:after="0"/>
            </w:pPr>
            <w:r>
              <w:rPr>
                <w:rFonts w:ascii="Arial" w:hAnsi="Arial"/>
                <w:sz w:val="16"/>
              </w:rPr>
              <w:t>Administration</w:t>
            </w:r>
          </w:p>
        </w:tc>
        <w:tc>
          <w:tcPr>
            <w:tcW w:type="dxa" w:w="5083"/>
            <w:vAlign w:val="top"/>
          </w:tcPr>
          <w:p>
            <w:pPr>
              <w:spacing w:after="0"/>
            </w:pPr>
            <w:r>
              <w:rPr>
                <w:rFonts w:ascii="Arial" w:hAnsi="Arial"/>
                <w:sz w:val="16"/>
              </w:rPr>
              <w:t>Identification, workspace or facility arrangements, physical access and assigned assets where applicable.</w:t>
            </w:r>
          </w:p>
        </w:tc>
      </w:tr>
      <w:tr>
        <w:tc>
          <w:tcPr>
            <w:tcW w:type="dxa" w:w="5083"/>
            <w:vAlign w:val="top"/>
          </w:tcPr>
          <w:p>
            <w:pPr>
              <w:spacing w:after="0"/>
            </w:pPr>
            <w:r>
              <w:rPr>
                <w:rFonts w:ascii="Arial" w:hAnsi="Arial"/>
                <w:sz w:val="16"/>
              </w:rPr>
              <w:t>Employee</w:t>
            </w:r>
          </w:p>
        </w:tc>
        <w:tc>
          <w:tcPr>
            <w:tcW w:type="dxa" w:w="5083"/>
            <w:vAlign w:val="top"/>
          </w:tcPr>
          <w:p>
            <w:pPr>
              <w:spacing w:after="0"/>
            </w:pPr>
            <w:r>
              <w:rPr>
                <w:rFonts w:ascii="Arial" w:hAnsi="Arial"/>
                <w:sz w:val="16"/>
              </w:rPr>
              <w:t>Accurate information, timely document submission, policy acknowledgement, training completion and participation in onboarding activities.</w:t>
            </w:r>
          </w:p>
        </w:tc>
      </w:tr>
    </w:tbl>
    <w:p>
      <w:pPr>
        <w:spacing w:after="0"/>
      </w:pPr>
    </w:p>
    <w:p>
      <w:pPr>
        <w:pStyle w:val="Heading1"/>
      </w:pPr>
      <w:r>
        <w:t>14. Employee Records and Documentation Control</w:t>
      </w:r>
    </w:p>
    <w:p>
      <w:pPr/>
      <w:r>
        <w:t>HR maintains the controlled employee record. Documents received during recruitment and joining should be stored in the approved repository and linked to the appropriate employee or candidate record. Duplicate copies should be minimized where a controlled master exists.</w:t>
      </w:r>
    </w:p>
    <w:p>
      <w:pPr/>
      <w:r>
        <w:t>The employee is responsible for providing accurate information and promptly reporting material changes. HR should verify changes to sensitive information such as bank details through the approved process. A candidate or employee should not create an unofficial parallel personnel record that conflicts with the HR master.</w:t>
      </w:r>
    </w:p>
    <w:p>
      <w:pPr>
        <w:pStyle w:val="Heading2"/>
      </w:pPr>
      <w:r>
        <w:t>14.1 Document status</w:t>
      </w:r>
    </w:p>
    <w:p>
      <w:pPr>
        <w:pStyle w:val="PolicyBullet"/>
      </w:pPr>
      <w:r>
        <w:t>• Required and received: submitted and accepted for the relevant process.</w:t>
      </w:r>
    </w:p>
    <w:p>
      <w:pPr>
        <w:pStyle w:val="PolicyBullet"/>
      </w:pPr>
      <w:r>
        <w:t>• Required and pending: outstanding and requiring follow-up.</w:t>
      </w:r>
    </w:p>
    <w:p>
      <w:pPr>
        <w:pStyle w:val="PolicyBullet"/>
      </w:pPr>
      <w:r>
        <w:t>• Exception approved: formally waived or deferred by the authorized authority.</w:t>
      </w:r>
    </w:p>
    <w:p>
      <w:pPr>
        <w:pStyle w:val="PolicyBullet"/>
      </w:pPr>
      <w:r>
        <w:t>• Rejected / clarification required: submitted document does not meet the requirement and further action is needed.</w:t>
      </w:r>
    </w:p>
    <w:p>
      <w:pPr/>
      <w:r>
        <w:t>HR should track outstanding joining documents and communicate a reasonable completion date. Material discrepancies should be escalated rather than silently closed.</w:t>
      </w:r>
    </w:p>
    <w:p>
      <w:pPr>
        <w:pStyle w:val="Heading1"/>
      </w:pPr>
      <w:r>
        <w:t>15. System Access, Assets and Workplace Readiness</w:t>
      </w:r>
    </w:p>
    <w:p>
      <w:pPr/>
      <w:r>
        <w:t>System and physical access should be aligned to the employee's role. The hiring manager identifies required access, while the relevant administrator applies the approved provisioning process. Access should be limited to what is required for the employee's duties.</w:t>
      </w:r>
    </w:p>
    <w:p>
      <w:pPr/>
      <w:r>
        <w:t>New employees should receive instructions for attendance recording, approved communication channels, document repositories and systems required for their role. Credentials must be individual and should not be shared. Incorrect permissions or access problems should be reported to IT or the designated administrator.</w:t>
      </w:r>
    </w:p>
    <w:p>
      <w:pPr/>
      <w:r>
        <w:t>Where equipment is issued, the employee should acknowledge receipt and report damage or missing items promptly. Administration and IT maintain asset records. Access and assets remain subject to the separation process when employment ends.</w:t>
      </w:r>
    </w:p>
    <w:p>
      <w:pPr>
        <w:pStyle w:val="Heading1"/>
      </w:pPr>
      <w:r>
        <w:t>16. Internal Movement and Re-Onboarding</w:t>
      </w:r>
    </w:p>
    <w:p>
      <w:pPr/>
      <w:r>
        <w:t>Recruitment and onboarding controls also apply when an existing employee moves to a substantially different role or department. HR should determine whether the movement requires a new requisition, revised appointment documentation, updated compensation approval or additional verification.</w:t>
      </w:r>
    </w:p>
    <w:p>
      <w:pPr/>
      <w:r>
        <w:t>Before the effective movement date, the new manager should identify role-specific systems, training, access and responsibilities. IT should review permissions so access from the former role is removed where no longer required and new access is granted only after approval.</w:t>
      </w:r>
    </w:p>
    <w:p>
      <w:pPr/>
      <w:r>
        <w:t>A transfer, promotion or reporting-manager change is effective only after the approved HR process has been completed and communicated. An informal discussion between managers does not by itself amend the employee's official record.</w:t>
      </w:r>
    </w:p>
    <w:p>
      <w:pPr>
        <w:pStyle w:val="Heading1"/>
      </w:pPr>
      <w:r>
        <w:t>17. Recruitment Exceptions and Special Cases</w:t>
      </w:r>
    </w:p>
    <w:p>
      <w:pPr/>
      <w:r>
        <w:t>Certain hiring situations require additional review, including urgent clinical staffing, roles requiring professional licensing, positions with unusual working hours, re-engagement of former employees, joining-date exceptions and appointments outside an approved compensation range.</w:t>
      </w:r>
    </w:p>
    <w:p>
      <w:pPr>
        <w:pStyle w:val="Heading2"/>
      </w:pPr>
      <w:r>
        <w:t>17.1 Exception handling</w:t>
      </w:r>
    </w:p>
    <w:p>
      <w:pPr>
        <w:pStyle w:val="PolicyBullet"/>
      </w:pPr>
      <w:r>
        <w:t>• The hiring manager states the reason for the exception and the specific requirement being varied.</w:t>
      </w:r>
    </w:p>
    <w:p>
      <w:pPr>
        <w:pStyle w:val="PolicyBullet"/>
      </w:pPr>
      <w:r>
        <w:t>• HR identifies the normal policy treatment and assesses administrative or employment implications.</w:t>
      </w:r>
    </w:p>
    <w:p>
      <w:pPr>
        <w:pStyle w:val="PolicyBullet"/>
      </w:pPr>
      <w:r>
        <w:t>• The authorized approver confirms the exception before the candidate is promised the revised condition.</w:t>
      </w:r>
    </w:p>
    <w:p>
      <w:pPr>
        <w:pStyle w:val="PolicyBullet"/>
      </w:pPr>
      <w:r>
        <w:t>• The exception is recorded with the position and candidate record so it is not treated as a general entitlement.</w:t>
      </w:r>
    </w:p>
    <w:p>
      <w:pPr>
        <w:pStyle w:val="PolicyBullet"/>
      </w:pPr>
      <w:r>
        <w:t>• Where an exception changes role requirements, the requisition and candidate assessment are reviewed for consistency.</w:t>
      </w:r>
    </w:p>
    <w:p>
      <w:pPr>
        <w:pStyle w:val="Heading1"/>
      </w:pPr>
      <w:r>
        <w:t>18. Recruitment Closure and Unsuccessful Candidates</w:t>
      </w:r>
    </w:p>
    <w:p>
      <w:pPr/>
      <w:r>
        <w:t>Once a position is filled, withdrawn or otherwise closed, HR should update the recruitment record. Candidate records should show the final status so the organization can distinguish selected candidates, withdrawals, rejections, requisition closure and other outcomes.</w:t>
      </w:r>
    </w:p>
    <w:p>
      <w:pPr/>
      <w:r>
        <w:t>Candidates who are not selected should be handled professionally and consistently. Communication should not disclose confidential interview information, another candidate's details or internal deliberations.</w:t>
      </w:r>
    </w:p>
    <w:p>
      <w:pPr/>
      <w:r>
        <w:t>If a candidate is placed in a future consideration pool, HR should record the role family or reason for future consideration rather than retaining an unexplained informal list. Any subsequent hiring must use the requirements of the new or reopened position.</w:t>
      </w:r>
    </w:p>
    <w:p>
      <w:pPr>
        <w:pStyle w:val="Heading1"/>
      </w:pPr>
      <w:r>
        <w:t>19. Recruitment Metrics and Process Review</w:t>
      </w:r>
    </w:p>
    <w:p>
      <w:pPr/>
      <w:r>
        <w:t>HR should periodically review recruitment activity to identify delays, bottlenecks and recurring process issues. Metrics should support operational improvement rather than encourage hiring teams to close positions without adequate assessment.</w:t>
      </w:r>
    </w:p>
    <w:tbl>
      <w:tblPr>
        <w:tblStyle w:val="TableGrid"/>
        <w:tblW w:type="auto" w:w="0"/>
        <w:jc w:val="center"/>
        <w:tblLook w:firstColumn="1" w:firstRow="1" w:lastColumn="0" w:lastRow="0" w:noHBand="0" w:noVBand="1" w:val="04A0"/>
      </w:tblPr>
      <w:tblGrid>
        <w:gridCol w:w="5083"/>
        <w:gridCol w:w="5083"/>
      </w:tblGrid>
      <w:tr>
        <w:tc>
          <w:tcPr>
            <w:tcW w:type="dxa" w:w="5083"/>
            <w:shd w:fill="EAEAEA"/>
          </w:tcPr>
          <w:p>
            <w:r>
              <w:rPr>
                <w:b/>
                <w:sz w:val="17"/>
              </w:rPr>
              <w:t>Metric</w:t>
            </w:r>
          </w:p>
        </w:tc>
        <w:tc>
          <w:tcPr>
            <w:tcW w:type="dxa" w:w="5083"/>
            <w:shd w:fill="EAEAEA"/>
          </w:tcPr>
          <w:p>
            <w:r>
              <w:rPr>
                <w:b/>
                <w:sz w:val="17"/>
              </w:rPr>
              <w:t>Definition / use</w:t>
            </w:r>
          </w:p>
        </w:tc>
      </w:tr>
      <w:tr>
        <w:tc>
          <w:tcPr>
            <w:tcW w:type="dxa" w:w="5083"/>
            <w:vAlign w:val="top"/>
          </w:tcPr>
          <w:p>
            <w:pPr>
              <w:spacing w:after="0"/>
            </w:pPr>
            <w:r>
              <w:rPr>
                <w:rFonts w:ascii="Arial" w:hAnsi="Arial"/>
                <w:sz w:val="16"/>
              </w:rPr>
              <w:t>Time to shortlist</w:t>
            </w:r>
          </w:p>
        </w:tc>
        <w:tc>
          <w:tcPr>
            <w:tcW w:type="dxa" w:w="5083"/>
            <w:vAlign w:val="top"/>
          </w:tcPr>
          <w:p>
            <w:pPr>
              <w:spacing w:after="0"/>
            </w:pPr>
            <w:r>
              <w:rPr>
                <w:rFonts w:ascii="Arial" w:hAnsi="Arial"/>
                <w:sz w:val="16"/>
              </w:rPr>
              <w:t>Calendar time from approved requisition to initial shortlist; identifies sourcing delays.</w:t>
            </w:r>
          </w:p>
        </w:tc>
      </w:tr>
      <w:tr>
        <w:tc>
          <w:tcPr>
            <w:tcW w:type="dxa" w:w="5083"/>
            <w:vAlign w:val="top"/>
          </w:tcPr>
          <w:p>
            <w:pPr>
              <w:spacing w:after="0"/>
            </w:pPr>
            <w:r>
              <w:rPr>
                <w:rFonts w:ascii="Arial" w:hAnsi="Arial"/>
                <w:sz w:val="16"/>
              </w:rPr>
              <w:t>Time to hire</w:t>
            </w:r>
          </w:p>
        </w:tc>
        <w:tc>
          <w:tcPr>
            <w:tcW w:type="dxa" w:w="5083"/>
            <w:vAlign w:val="top"/>
          </w:tcPr>
          <w:p>
            <w:pPr>
              <w:spacing w:after="0"/>
            </w:pPr>
            <w:r>
              <w:rPr>
                <w:rFonts w:ascii="Arial" w:hAnsi="Arial"/>
                <w:sz w:val="16"/>
              </w:rPr>
              <w:t>Time from approved requisition to accepted offer; assesses recruitment cycle efficiency.</w:t>
            </w:r>
          </w:p>
        </w:tc>
      </w:tr>
      <w:tr>
        <w:tc>
          <w:tcPr>
            <w:tcW w:type="dxa" w:w="5083"/>
            <w:vAlign w:val="top"/>
          </w:tcPr>
          <w:p>
            <w:pPr>
              <w:spacing w:after="0"/>
            </w:pPr>
            <w:r>
              <w:rPr>
                <w:rFonts w:ascii="Arial" w:hAnsi="Arial"/>
                <w:sz w:val="16"/>
              </w:rPr>
              <w:t>Offer acceptance rate</w:t>
            </w:r>
          </w:p>
        </w:tc>
        <w:tc>
          <w:tcPr>
            <w:tcW w:type="dxa" w:w="5083"/>
            <w:vAlign w:val="top"/>
          </w:tcPr>
          <w:p>
            <w:pPr>
              <w:spacing w:after="0"/>
            </w:pPr>
            <w:r>
              <w:rPr>
                <w:rFonts w:ascii="Arial" w:hAnsi="Arial"/>
                <w:sz w:val="16"/>
              </w:rPr>
              <w:t>Accepted offers divided by offers issued for the period.</w:t>
            </w:r>
          </w:p>
        </w:tc>
      </w:tr>
      <w:tr>
        <w:tc>
          <w:tcPr>
            <w:tcW w:type="dxa" w:w="5083"/>
            <w:vAlign w:val="top"/>
          </w:tcPr>
          <w:p>
            <w:pPr>
              <w:spacing w:after="0"/>
            </w:pPr>
            <w:r>
              <w:rPr>
                <w:rFonts w:ascii="Arial" w:hAnsi="Arial"/>
                <w:sz w:val="16"/>
              </w:rPr>
              <w:t>Joining conversion</w:t>
            </w:r>
          </w:p>
        </w:tc>
        <w:tc>
          <w:tcPr>
            <w:tcW w:type="dxa" w:w="5083"/>
            <w:vAlign w:val="top"/>
          </w:tcPr>
          <w:p>
            <w:pPr>
              <w:spacing w:after="0"/>
            </w:pPr>
            <w:r>
              <w:rPr>
                <w:rFonts w:ascii="Arial" w:hAnsi="Arial"/>
                <w:sz w:val="16"/>
              </w:rPr>
              <w:t>Candidates who actually join divided by accepted offers.</w:t>
            </w:r>
          </w:p>
        </w:tc>
      </w:tr>
      <w:tr>
        <w:tc>
          <w:tcPr>
            <w:tcW w:type="dxa" w:w="5083"/>
            <w:vAlign w:val="top"/>
          </w:tcPr>
          <w:p>
            <w:pPr>
              <w:spacing w:after="0"/>
            </w:pPr>
            <w:r>
              <w:rPr>
                <w:rFonts w:ascii="Arial" w:hAnsi="Arial"/>
                <w:sz w:val="16"/>
              </w:rPr>
              <w:t>Probation confirmation rate</w:t>
            </w:r>
          </w:p>
        </w:tc>
        <w:tc>
          <w:tcPr>
            <w:tcW w:type="dxa" w:w="5083"/>
            <w:vAlign w:val="top"/>
          </w:tcPr>
          <w:p>
            <w:pPr>
              <w:spacing w:after="0"/>
            </w:pPr>
            <w:r>
              <w:rPr>
                <w:rFonts w:ascii="Arial" w:hAnsi="Arial"/>
                <w:sz w:val="16"/>
              </w:rPr>
              <w:t>Employees confirmed at the scheduled review divided by employees reaching the review point.</w:t>
            </w:r>
          </w:p>
        </w:tc>
      </w:tr>
      <w:tr>
        <w:tc>
          <w:tcPr>
            <w:tcW w:type="dxa" w:w="5083"/>
            <w:vAlign w:val="top"/>
          </w:tcPr>
          <w:p>
            <w:pPr>
              <w:spacing w:after="0"/>
            </w:pPr>
            <w:r>
              <w:rPr>
                <w:rFonts w:ascii="Arial" w:hAnsi="Arial"/>
                <w:sz w:val="16"/>
              </w:rPr>
              <w:t>Document completion</w:t>
            </w:r>
          </w:p>
        </w:tc>
        <w:tc>
          <w:tcPr>
            <w:tcW w:type="dxa" w:w="5083"/>
            <w:vAlign w:val="top"/>
          </w:tcPr>
          <w:p>
            <w:pPr>
              <w:spacing w:after="0"/>
            </w:pPr>
            <w:r>
              <w:rPr>
                <w:rFonts w:ascii="Arial" w:hAnsi="Arial"/>
                <w:sz w:val="16"/>
              </w:rPr>
              <w:t>New joiners with all required joining documents completed within the target period.</w:t>
            </w:r>
          </w:p>
        </w:tc>
      </w:tr>
      <w:tr>
        <w:tc>
          <w:tcPr>
            <w:tcW w:type="dxa" w:w="5083"/>
            <w:vAlign w:val="top"/>
          </w:tcPr>
          <w:p>
            <w:pPr>
              <w:spacing w:after="0"/>
            </w:pPr>
            <w:r>
              <w:rPr>
                <w:rFonts w:ascii="Arial" w:hAnsi="Arial"/>
                <w:sz w:val="16"/>
              </w:rPr>
              <w:t>Early attrition</w:t>
            </w:r>
          </w:p>
        </w:tc>
        <w:tc>
          <w:tcPr>
            <w:tcW w:type="dxa" w:w="5083"/>
            <w:vAlign w:val="top"/>
          </w:tcPr>
          <w:p>
            <w:pPr>
              <w:spacing w:after="0"/>
            </w:pPr>
            <w:r>
              <w:rPr>
                <w:rFonts w:ascii="Arial" w:hAnsi="Arial"/>
                <w:sz w:val="16"/>
              </w:rPr>
              <w:t>Employees leaving during the defined early-tenure period; reviewed for recurring onboarding or role-fit issues.</w:t>
            </w:r>
          </w:p>
        </w:tc>
      </w:tr>
    </w:tbl>
    <w:p>
      <w:pPr>
        <w:spacing w:after="0"/>
      </w:pPr>
    </w:p>
    <w:p>
      <w:pPr/>
      <w:r>
        <w:t>Metrics should be interpreted alongside role complexity, hiring volume, market conditions and department requirements. HR may use trend analysis to identify whether delays arise from sourcing, approvals, candidate availability, verification or onboarding readiness.</w:t>
      </w:r>
    </w:p>
    <w:p>
      <w:pPr>
        <w:pStyle w:val="Heading1"/>
      </w:pPr>
      <w:r>
        <w:t>20. Compliance, Confidentiality and Escalation</w:t>
      </w:r>
    </w:p>
    <w:p>
      <w:pPr/>
      <w:r>
        <w:t>Employees involved in recruitment are expected to follow the approved process and maintain accurate records. Recruitment information should not be altered to create a preferred outcome, and candidate data should not be shared outside the authorized hiring process.</w:t>
      </w:r>
    </w:p>
    <w:p>
      <w:pPr>
        <w:pStyle w:val="PolicyBullet"/>
      </w:pPr>
      <w:r>
        <w:t>• Suspected falsification of candidate documents or recruitment records should be escalated to HR.</w:t>
      </w:r>
    </w:p>
    <w:p>
      <w:pPr>
        <w:pStyle w:val="PolicyBullet"/>
      </w:pPr>
      <w:r>
        <w:t>• Unapproved commitments regarding compensation, designation, joining date or benefits should be referred to HR.</w:t>
      </w:r>
    </w:p>
    <w:p>
      <w:pPr>
        <w:pStyle w:val="PolicyBullet"/>
      </w:pPr>
      <w:r>
        <w:t>• Conflicts of interest involving a candidate, recruiter, hiring manager or vendor should be disclosed through the appropriate channel.</w:t>
      </w:r>
    </w:p>
    <w:p>
      <w:pPr>
        <w:pStyle w:val="PolicyBullet"/>
      </w:pPr>
      <w:r>
        <w:t>• Confidential candidate information should be protected and accessed only by people with a legitimate recruitment need.</w:t>
      </w:r>
    </w:p>
    <w:p>
      <w:pPr>
        <w:pStyle w:val="PolicyBullet"/>
      </w:pPr>
      <w:r>
        <w:t>• Where the policy does not clearly address a case, HR should determine the applicable process rather than allowing local practice to become an informal policy.</w:t>
      </w:r>
    </w:p>
    <w:p>
      <w:pPr>
        <w:pStyle w:val="Heading1"/>
      </w:pPr>
      <w:r>
        <w:t>21. Related HR Policies and Controlled Sources</w:t>
      </w:r>
    </w:p>
    <w:p>
      <w:pPr/>
      <w:r>
        <w:t>This policy is part of the broader HR framework. The Employee Handbook provides organization-wide employee expectations, while this document provides the detailed recruitment and onboarding workflow. The Leave &amp; Attendance Policy governs attendance recording, leave requests, entitlements and absence treatment after joining.</w:t>
      </w:r>
    </w:p>
    <w:p>
      <w:pPr/>
      <w:r>
        <w:t>The Performance Management Policy governs goal setting, performance reviews and structured improvement after the employee enters the performance cycle. The Employee Benefits Schedule provides detailed benefit eligibility and limits. Information Security and Data Privacy &amp; Confidentiality policies govern the handling of employee and candidate information and system access.</w:t>
      </w:r>
    </w:p>
    <w:p>
      <w:pPr/>
      <w:r>
        <w:t>Where two controlled documents appear to conflict, the issue should be referred to HR with the document names, versions and relevant sections. Employees should use the current controlled copy rather than saved or informal versions.</w:t>
      </w:r>
    </w:p>
    <w:p>
      <w:pPr>
        <w:pStyle w:val="Heading1"/>
      </w:pPr>
      <w:r>
        <w:t>22. Recruitment and Onboarding Checklist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AEAEA"/>
          </w:tcPr>
          <w:p>
            <w:r>
              <w:rPr>
                <w:b/>
                <w:sz w:val="17"/>
              </w:rPr>
              <w:t>Activity</w:t>
            </w:r>
          </w:p>
        </w:tc>
        <w:tc>
          <w:tcPr>
            <w:tcW w:type="dxa" w:w="3389"/>
            <w:shd w:fill="EAEAEA"/>
          </w:tcPr>
          <w:p>
            <w:r>
              <w:rPr>
                <w:b/>
                <w:sz w:val="17"/>
              </w:rPr>
              <w:t>Owner</w:t>
            </w:r>
          </w:p>
        </w:tc>
        <w:tc>
          <w:tcPr>
            <w:tcW w:type="dxa" w:w="3389"/>
            <w:shd w:fill="EAEAEA"/>
          </w:tcPr>
          <w:p>
            <w:r>
              <w:rPr>
                <w:b/>
                <w:sz w:val="17"/>
              </w:rPr>
              <w:t>Completion point</w:t>
            </w:r>
          </w:p>
        </w:tc>
      </w:tr>
      <w:tr>
        <w:tc>
          <w:tcPr>
            <w:tcW w:type="dxa" w:w="3389"/>
            <w:vAlign w:val="top"/>
          </w:tcPr>
          <w:p>
            <w:pPr>
              <w:spacing w:after="0"/>
            </w:pPr>
            <w:r>
              <w:rPr>
                <w:rFonts w:ascii="Arial" w:hAnsi="Arial"/>
                <w:sz w:val="16"/>
              </w:rPr>
              <w:t>Workforce requirement and requisition</w:t>
            </w:r>
          </w:p>
        </w:tc>
        <w:tc>
          <w:tcPr>
            <w:tcW w:type="dxa" w:w="3389"/>
            <w:vAlign w:val="top"/>
          </w:tcPr>
          <w:p>
            <w:pPr>
              <w:spacing w:after="0"/>
            </w:pPr>
            <w:r>
              <w:rPr>
                <w:rFonts w:ascii="Arial" w:hAnsi="Arial"/>
                <w:sz w:val="16"/>
              </w:rPr>
              <w:t>Hiring Manager / HR</w:t>
            </w:r>
          </w:p>
        </w:tc>
        <w:tc>
          <w:tcPr>
            <w:tcW w:type="dxa" w:w="3389"/>
            <w:vAlign w:val="top"/>
          </w:tcPr>
          <w:p>
            <w:pPr>
              <w:spacing w:after="0"/>
            </w:pPr>
            <w:r>
              <w:rPr>
                <w:rFonts w:ascii="Arial" w:hAnsi="Arial"/>
                <w:sz w:val="16"/>
              </w:rPr>
              <w:t>Before sourcing begins</w:t>
            </w:r>
          </w:p>
        </w:tc>
      </w:tr>
      <w:tr>
        <w:tc>
          <w:tcPr>
            <w:tcW w:type="dxa" w:w="3389"/>
            <w:vAlign w:val="top"/>
          </w:tcPr>
          <w:p>
            <w:pPr>
              <w:spacing w:after="0"/>
            </w:pPr>
            <w:r>
              <w:rPr>
                <w:rFonts w:ascii="Arial" w:hAnsi="Arial"/>
                <w:sz w:val="16"/>
              </w:rPr>
              <w:t>Job description approval</w:t>
            </w:r>
          </w:p>
        </w:tc>
        <w:tc>
          <w:tcPr>
            <w:tcW w:type="dxa" w:w="3389"/>
            <w:vAlign w:val="top"/>
          </w:tcPr>
          <w:p>
            <w:pPr>
              <w:spacing w:after="0"/>
            </w:pPr>
            <w:r>
              <w:rPr>
                <w:rFonts w:ascii="Arial" w:hAnsi="Arial"/>
                <w:sz w:val="16"/>
              </w:rPr>
              <w:t>Hiring Manager / HR</w:t>
            </w:r>
          </w:p>
        </w:tc>
        <w:tc>
          <w:tcPr>
            <w:tcW w:type="dxa" w:w="3389"/>
            <w:vAlign w:val="top"/>
          </w:tcPr>
          <w:p>
            <w:pPr>
              <w:spacing w:after="0"/>
            </w:pPr>
            <w:r>
              <w:rPr>
                <w:rFonts w:ascii="Arial" w:hAnsi="Arial"/>
                <w:sz w:val="16"/>
              </w:rPr>
              <w:t>Before candidate screening</w:t>
            </w:r>
          </w:p>
        </w:tc>
      </w:tr>
      <w:tr>
        <w:tc>
          <w:tcPr>
            <w:tcW w:type="dxa" w:w="3389"/>
            <w:vAlign w:val="top"/>
          </w:tcPr>
          <w:p>
            <w:pPr>
              <w:spacing w:after="0"/>
            </w:pPr>
            <w:r>
              <w:rPr>
                <w:rFonts w:ascii="Arial" w:hAnsi="Arial"/>
                <w:sz w:val="16"/>
              </w:rPr>
              <w:t>Candidate screening</w:t>
            </w:r>
          </w:p>
        </w:tc>
        <w:tc>
          <w:tcPr>
            <w:tcW w:type="dxa" w:w="3389"/>
            <w:vAlign w:val="top"/>
          </w:tcPr>
          <w:p>
            <w:pPr>
              <w:spacing w:after="0"/>
            </w:pPr>
            <w:r>
              <w:rPr>
                <w:rFonts w:ascii="Arial" w:hAnsi="Arial"/>
                <w:sz w:val="16"/>
              </w:rPr>
              <w:t>HR</w:t>
            </w:r>
          </w:p>
        </w:tc>
        <w:tc>
          <w:tcPr>
            <w:tcW w:type="dxa" w:w="3389"/>
            <w:vAlign w:val="top"/>
          </w:tcPr>
          <w:p>
            <w:pPr>
              <w:spacing w:after="0"/>
            </w:pPr>
            <w:r>
              <w:rPr>
                <w:rFonts w:ascii="Arial" w:hAnsi="Arial"/>
                <w:sz w:val="16"/>
              </w:rPr>
              <w:t>Before interview stage</w:t>
            </w:r>
          </w:p>
        </w:tc>
      </w:tr>
      <w:tr>
        <w:tc>
          <w:tcPr>
            <w:tcW w:type="dxa" w:w="3389"/>
            <w:vAlign w:val="top"/>
          </w:tcPr>
          <w:p>
            <w:pPr>
              <w:spacing w:after="0"/>
            </w:pPr>
            <w:r>
              <w:rPr>
                <w:rFonts w:ascii="Arial" w:hAnsi="Arial"/>
                <w:sz w:val="16"/>
              </w:rPr>
              <w:t>Functional and structured assessment</w:t>
            </w:r>
          </w:p>
        </w:tc>
        <w:tc>
          <w:tcPr>
            <w:tcW w:type="dxa" w:w="3389"/>
            <w:vAlign w:val="top"/>
          </w:tcPr>
          <w:p>
            <w:pPr>
              <w:spacing w:after="0"/>
            </w:pPr>
            <w:r>
              <w:rPr>
                <w:rFonts w:ascii="Arial" w:hAnsi="Arial"/>
                <w:sz w:val="16"/>
              </w:rPr>
              <w:t>Hiring Manager / Panel</w:t>
            </w:r>
          </w:p>
        </w:tc>
        <w:tc>
          <w:tcPr>
            <w:tcW w:type="dxa" w:w="3389"/>
            <w:vAlign w:val="top"/>
          </w:tcPr>
          <w:p>
            <w:pPr>
              <w:spacing w:after="0"/>
            </w:pPr>
            <w:r>
              <w:rPr>
                <w:rFonts w:ascii="Arial" w:hAnsi="Arial"/>
                <w:sz w:val="16"/>
              </w:rPr>
              <w:t>Before selection approval</w:t>
            </w:r>
          </w:p>
        </w:tc>
      </w:tr>
      <w:tr>
        <w:tc>
          <w:tcPr>
            <w:tcW w:type="dxa" w:w="3389"/>
            <w:vAlign w:val="top"/>
          </w:tcPr>
          <w:p>
            <w:pPr>
              <w:spacing w:after="0"/>
            </w:pPr>
            <w:r>
              <w:rPr>
                <w:rFonts w:ascii="Arial" w:hAnsi="Arial"/>
                <w:sz w:val="16"/>
              </w:rPr>
              <w:t>Selection and compensation approval</w:t>
            </w:r>
          </w:p>
        </w:tc>
        <w:tc>
          <w:tcPr>
            <w:tcW w:type="dxa" w:w="3389"/>
            <w:vAlign w:val="top"/>
          </w:tcPr>
          <w:p>
            <w:pPr>
              <w:spacing w:after="0"/>
            </w:pPr>
            <w:r>
              <w:rPr>
                <w:rFonts w:ascii="Arial" w:hAnsi="Arial"/>
                <w:sz w:val="16"/>
              </w:rPr>
              <w:t>Authorized approver / HR</w:t>
            </w:r>
          </w:p>
        </w:tc>
        <w:tc>
          <w:tcPr>
            <w:tcW w:type="dxa" w:w="3389"/>
            <w:vAlign w:val="top"/>
          </w:tcPr>
          <w:p>
            <w:pPr>
              <w:spacing w:after="0"/>
            </w:pPr>
            <w:r>
              <w:rPr>
                <w:rFonts w:ascii="Arial" w:hAnsi="Arial"/>
                <w:sz w:val="16"/>
              </w:rPr>
              <w:t>Before offer</w:t>
            </w:r>
          </w:p>
        </w:tc>
      </w:tr>
      <w:tr>
        <w:tc>
          <w:tcPr>
            <w:tcW w:type="dxa" w:w="3389"/>
            <w:vAlign w:val="top"/>
          </w:tcPr>
          <w:p>
            <w:pPr>
              <w:spacing w:after="0"/>
            </w:pPr>
            <w:r>
              <w:rPr>
                <w:rFonts w:ascii="Arial" w:hAnsi="Arial"/>
                <w:sz w:val="16"/>
              </w:rPr>
              <w:t>Offer issue and acceptance</w:t>
            </w:r>
          </w:p>
        </w:tc>
        <w:tc>
          <w:tcPr>
            <w:tcW w:type="dxa" w:w="3389"/>
            <w:vAlign w:val="top"/>
          </w:tcPr>
          <w:p>
            <w:pPr>
              <w:spacing w:after="0"/>
            </w:pPr>
            <w:r>
              <w:rPr>
                <w:rFonts w:ascii="Arial" w:hAnsi="Arial"/>
                <w:sz w:val="16"/>
              </w:rPr>
              <w:t>HR / Candidate</w:t>
            </w:r>
          </w:p>
        </w:tc>
        <w:tc>
          <w:tcPr>
            <w:tcW w:type="dxa" w:w="3389"/>
            <w:vAlign w:val="top"/>
          </w:tcPr>
          <w:p>
            <w:pPr>
              <w:spacing w:after="0"/>
            </w:pPr>
            <w:r>
              <w:rPr>
                <w:rFonts w:ascii="Arial" w:hAnsi="Arial"/>
                <w:sz w:val="16"/>
              </w:rPr>
              <w:t>Before joining</w:t>
            </w:r>
          </w:p>
        </w:tc>
      </w:tr>
      <w:tr>
        <w:tc>
          <w:tcPr>
            <w:tcW w:type="dxa" w:w="3389"/>
            <w:vAlign w:val="top"/>
          </w:tcPr>
          <w:p>
            <w:pPr>
              <w:spacing w:after="0"/>
            </w:pPr>
            <w:r>
              <w:rPr>
                <w:rFonts w:ascii="Arial" w:hAnsi="Arial"/>
                <w:sz w:val="16"/>
              </w:rPr>
              <w:t>Pre-joining documents</w:t>
            </w:r>
          </w:p>
        </w:tc>
        <w:tc>
          <w:tcPr>
            <w:tcW w:type="dxa" w:w="3389"/>
            <w:vAlign w:val="top"/>
          </w:tcPr>
          <w:p>
            <w:pPr>
              <w:spacing w:after="0"/>
            </w:pPr>
            <w:r>
              <w:rPr>
                <w:rFonts w:ascii="Arial" w:hAnsi="Arial"/>
                <w:sz w:val="16"/>
              </w:rPr>
              <w:t>Candidate / HR</w:t>
            </w:r>
          </w:p>
        </w:tc>
        <w:tc>
          <w:tcPr>
            <w:tcW w:type="dxa" w:w="3389"/>
            <w:vAlign w:val="top"/>
          </w:tcPr>
          <w:p>
            <w:pPr>
              <w:spacing w:after="0"/>
            </w:pPr>
            <w:r>
              <w:rPr>
                <w:rFonts w:ascii="Arial" w:hAnsi="Arial"/>
                <w:sz w:val="16"/>
              </w:rPr>
              <w:t>Before or at joining as specified</w:t>
            </w:r>
          </w:p>
        </w:tc>
      </w:tr>
      <w:tr>
        <w:tc>
          <w:tcPr>
            <w:tcW w:type="dxa" w:w="3389"/>
            <w:vAlign w:val="top"/>
          </w:tcPr>
          <w:p>
            <w:pPr>
              <w:spacing w:after="0"/>
            </w:pPr>
            <w:r>
              <w:rPr>
                <w:rFonts w:ascii="Arial" w:hAnsi="Arial"/>
                <w:sz w:val="16"/>
              </w:rPr>
              <w:t>Employee master creation</w:t>
            </w:r>
          </w:p>
        </w:tc>
        <w:tc>
          <w:tcPr>
            <w:tcW w:type="dxa" w:w="3389"/>
            <w:vAlign w:val="top"/>
          </w:tcPr>
          <w:p>
            <w:pPr>
              <w:spacing w:after="0"/>
            </w:pPr>
            <w:r>
              <w:rPr>
                <w:rFonts w:ascii="Arial" w:hAnsi="Arial"/>
                <w:sz w:val="16"/>
              </w:rPr>
              <w:t>HR</w:t>
            </w:r>
          </w:p>
        </w:tc>
        <w:tc>
          <w:tcPr>
            <w:tcW w:type="dxa" w:w="3389"/>
            <w:vAlign w:val="top"/>
          </w:tcPr>
          <w:p>
            <w:pPr>
              <w:spacing w:after="0"/>
            </w:pPr>
            <w:r>
              <w:rPr>
                <w:rFonts w:ascii="Arial" w:hAnsi="Arial"/>
                <w:sz w:val="16"/>
              </w:rPr>
              <w:t>On joining</w:t>
            </w:r>
          </w:p>
        </w:tc>
      </w:tr>
      <w:tr>
        <w:tc>
          <w:tcPr>
            <w:tcW w:type="dxa" w:w="3389"/>
            <w:vAlign w:val="top"/>
          </w:tcPr>
          <w:p>
            <w:pPr>
              <w:spacing w:after="0"/>
            </w:pPr>
            <w:r>
              <w:rPr>
                <w:rFonts w:ascii="Arial" w:hAnsi="Arial"/>
                <w:sz w:val="16"/>
              </w:rPr>
              <w:t>Payroll and bank setup</w:t>
            </w:r>
          </w:p>
        </w:tc>
        <w:tc>
          <w:tcPr>
            <w:tcW w:type="dxa" w:w="3389"/>
            <w:vAlign w:val="top"/>
          </w:tcPr>
          <w:p>
            <w:pPr>
              <w:spacing w:after="0"/>
            </w:pPr>
            <w:r>
              <w:rPr>
                <w:rFonts w:ascii="Arial" w:hAnsi="Arial"/>
                <w:sz w:val="16"/>
              </w:rPr>
              <w:t>HR / Finance</w:t>
            </w:r>
          </w:p>
        </w:tc>
        <w:tc>
          <w:tcPr>
            <w:tcW w:type="dxa" w:w="3389"/>
            <w:vAlign w:val="top"/>
          </w:tcPr>
          <w:p>
            <w:pPr>
              <w:spacing w:after="0"/>
            </w:pPr>
            <w:r>
              <w:rPr>
                <w:rFonts w:ascii="Arial" w:hAnsi="Arial"/>
                <w:sz w:val="16"/>
              </w:rPr>
              <w:t>At joining / payroll cut-off</w:t>
            </w:r>
          </w:p>
        </w:tc>
      </w:tr>
      <w:tr>
        <w:tc>
          <w:tcPr>
            <w:tcW w:type="dxa" w:w="3389"/>
            <w:vAlign w:val="top"/>
          </w:tcPr>
          <w:p>
            <w:pPr>
              <w:spacing w:after="0"/>
            </w:pPr>
            <w:r>
              <w:rPr>
                <w:rFonts w:ascii="Arial" w:hAnsi="Arial"/>
                <w:sz w:val="16"/>
              </w:rPr>
              <w:t>System and physical access</w:t>
            </w:r>
          </w:p>
        </w:tc>
        <w:tc>
          <w:tcPr>
            <w:tcW w:type="dxa" w:w="3389"/>
            <w:vAlign w:val="top"/>
          </w:tcPr>
          <w:p>
            <w:pPr>
              <w:spacing w:after="0"/>
            </w:pPr>
            <w:r>
              <w:rPr>
                <w:rFonts w:ascii="Arial" w:hAnsi="Arial"/>
                <w:sz w:val="16"/>
              </w:rPr>
              <w:t>IT / Administration</w:t>
            </w:r>
          </w:p>
        </w:tc>
        <w:tc>
          <w:tcPr>
            <w:tcW w:type="dxa" w:w="3389"/>
            <w:vAlign w:val="top"/>
          </w:tcPr>
          <w:p>
            <w:pPr>
              <w:spacing w:after="0"/>
            </w:pPr>
            <w:r>
              <w:rPr>
                <w:rFonts w:ascii="Arial" w:hAnsi="Arial"/>
                <w:sz w:val="16"/>
              </w:rPr>
              <w:t>On or before first working day as approved</w:t>
            </w:r>
          </w:p>
        </w:tc>
      </w:tr>
      <w:tr>
        <w:tc>
          <w:tcPr>
            <w:tcW w:type="dxa" w:w="3389"/>
            <w:vAlign w:val="top"/>
          </w:tcPr>
          <w:p>
            <w:pPr>
              <w:spacing w:after="0"/>
            </w:pPr>
            <w:r>
              <w:rPr>
                <w:rFonts w:ascii="Arial" w:hAnsi="Arial"/>
                <w:sz w:val="16"/>
              </w:rPr>
              <w:t>Policy acknowledgement</w:t>
            </w:r>
          </w:p>
        </w:tc>
        <w:tc>
          <w:tcPr>
            <w:tcW w:type="dxa" w:w="3389"/>
            <w:vAlign w:val="top"/>
          </w:tcPr>
          <w:p>
            <w:pPr>
              <w:spacing w:after="0"/>
            </w:pPr>
            <w:r>
              <w:rPr>
                <w:rFonts w:ascii="Arial" w:hAnsi="Arial"/>
                <w:sz w:val="16"/>
              </w:rPr>
              <w:t>Employee / HR</w:t>
            </w:r>
          </w:p>
        </w:tc>
        <w:tc>
          <w:tcPr>
            <w:tcW w:type="dxa" w:w="3389"/>
            <w:vAlign w:val="top"/>
          </w:tcPr>
          <w:p>
            <w:pPr>
              <w:spacing w:after="0"/>
            </w:pPr>
            <w:r>
              <w:rPr>
                <w:rFonts w:ascii="Arial" w:hAnsi="Arial"/>
                <w:sz w:val="16"/>
              </w:rPr>
              <w:t>During joining</w:t>
            </w:r>
          </w:p>
        </w:tc>
      </w:tr>
      <w:tr>
        <w:tc>
          <w:tcPr>
            <w:tcW w:type="dxa" w:w="3389"/>
            <w:vAlign w:val="top"/>
          </w:tcPr>
          <w:p>
            <w:pPr>
              <w:spacing w:after="0"/>
            </w:pPr>
            <w:r>
              <w:rPr>
                <w:rFonts w:ascii="Arial" w:hAnsi="Arial"/>
                <w:sz w:val="16"/>
              </w:rPr>
              <w:t>Department orientation</w:t>
            </w:r>
          </w:p>
        </w:tc>
        <w:tc>
          <w:tcPr>
            <w:tcW w:type="dxa" w:w="3389"/>
            <w:vAlign w:val="top"/>
          </w:tcPr>
          <w:p>
            <w:pPr>
              <w:spacing w:after="0"/>
            </w:pPr>
            <w:r>
              <w:rPr>
                <w:rFonts w:ascii="Arial" w:hAnsi="Arial"/>
                <w:sz w:val="16"/>
              </w:rPr>
              <w:t>Hiring Manager</w:t>
            </w:r>
          </w:p>
        </w:tc>
        <w:tc>
          <w:tcPr>
            <w:tcW w:type="dxa" w:w="3389"/>
            <w:vAlign w:val="top"/>
          </w:tcPr>
          <w:p>
            <w:pPr>
              <w:spacing w:after="0"/>
            </w:pPr>
            <w:r>
              <w:rPr>
                <w:rFonts w:ascii="Arial" w:hAnsi="Arial"/>
                <w:sz w:val="16"/>
              </w:rPr>
              <w:t>First days of employment</w:t>
            </w:r>
          </w:p>
        </w:tc>
      </w:tr>
      <w:tr>
        <w:tc>
          <w:tcPr>
            <w:tcW w:type="dxa" w:w="3389"/>
            <w:vAlign w:val="top"/>
          </w:tcPr>
          <w:p>
            <w:pPr>
              <w:spacing w:after="0"/>
            </w:pPr>
            <w:r>
              <w:rPr>
                <w:rFonts w:ascii="Arial" w:hAnsi="Arial"/>
                <w:sz w:val="16"/>
              </w:rPr>
              <w:t>Mandatory training</w:t>
            </w:r>
          </w:p>
        </w:tc>
        <w:tc>
          <w:tcPr>
            <w:tcW w:type="dxa" w:w="3389"/>
            <w:vAlign w:val="top"/>
          </w:tcPr>
          <w:p>
            <w:pPr>
              <w:spacing w:after="0"/>
            </w:pPr>
            <w:r>
              <w:rPr>
                <w:rFonts w:ascii="Arial" w:hAnsi="Arial"/>
                <w:sz w:val="16"/>
              </w:rPr>
              <w:t>Employee / HR / Department</w:t>
            </w:r>
          </w:p>
        </w:tc>
        <w:tc>
          <w:tcPr>
            <w:tcW w:type="dxa" w:w="3389"/>
            <w:vAlign w:val="top"/>
          </w:tcPr>
          <w:p>
            <w:pPr>
              <w:spacing w:after="0"/>
            </w:pPr>
            <w:r>
              <w:rPr>
                <w:rFonts w:ascii="Arial" w:hAnsi="Arial"/>
                <w:sz w:val="16"/>
              </w:rPr>
              <w:t>Within assigned deadlines</w:t>
            </w:r>
          </w:p>
        </w:tc>
      </w:tr>
      <w:tr>
        <w:tc>
          <w:tcPr>
            <w:tcW w:type="dxa" w:w="3389"/>
            <w:vAlign w:val="top"/>
          </w:tcPr>
          <w:p>
            <w:pPr>
              <w:spacing w:after="0"/>
            </w:pPr>
            <w:r>
              <w:rPr>
                <w:rFonts w:ascii="Arial" w:hAnsi="Arial"/>
                <w:sz w:val="16"/>
              </w:rPr>
              <w:t>30-day onboarding review</w:t>
            </w:r>
          </w:p>
        </w:tc>
        <w:tc>
          <w:tcPr>
            <w:tcW w:type="dxa" w:w="3389"/>
            <w:vAlign w:val="top"/>
          </w:tcPr>
          <w:p>
            <w:pPr>
              <w:spacing w:after="0"/>
            </w:pPr>
            <w:r>
              <w:rPr>
                <w:rFonts w:ascii="Arial" w:hAnsi="Arial"/>
                <w:sz w:val="16"/>
              </w:rPr>
              <w:t>Hiring Manager</w:t>
            </w:r>
          </w:p>
        </w:tc>
        <w:tc>
          <w:tcPr>
            <w:tcW w:type="dxa" w:w="3389"/>
            <w:vAlign w:val="top"/>
          </w:tcPr>
          <w:p>
            <w:pPr>
              <w:spacing w:after="0"/>
            </w:pPr>
            <w:r>
              <w:rPr>
                <w:rFonts w:ascii="Arial" w:hAnsi="Arial"/>
                <w:sz w:val="16"/>
              </w:rPr>
              <w:t>Around first month</w:t>
            </w:r>
          </w:p>
        </w:tc>
      </w:tr>
      <w:tr>
        <w:tc>
          <w:tcPr>
            <w:tcW w:type="dxa" w:w="3389"/>
            <w:vAlign w:val="top"/>
          </w:tcPr>
          <w:p>
            <w:pPr>
              <w:spacing w:after="0"/>
            </w:pPr>
            <w:r>
              <w:rPr>
                <w:rFonts w:ascii="Arial" w:hAnsi="Arial"/>
                <w:sz w:val="16"/>
              </w:rPr>
              <w:t>Probation review</w:t>
            </w:r>
          </w:p>
        </w:tc>
        <w:tc>
          <w:tcPr>
            <w:tcW w:type="dxa" w:w="3389"/>
            <w:vAlign w:val="top"/>
          </w:tcPr>
          <w:p>
            <w:pPr>
              <w:spacing w:after="0"/>
            </w:pPr>
            <w:r>
              <w:rPr>
                <w:rFonts w:ascii="Arial" w:hAnsi="Arial"/>
                <w:sz w:val="16"/>
              </w:rPr>
              <w:t>Hiring Manager / HR</w:t>
            </w:r>
          </w:p>
        </w:tc>
        <w:tc>
          <w:tcPr>
            <w:tcW w:type="dxa" w:w="3389"/>
            <w:vAlign w:val="top"/>
          </w:tcPr>
          <w:p>
            <w:pPr>
              <w:spacing w:after="0"/>
            </w:pPr>
            <w:r>
              <w:rPr>
                <w:rFonts w:ascii="Arial" w:hAnsi="Arial"/>
                <w:sz w:val="16"/>
              </w:rPr>
              <w:t>Before end of probation</w:t>
            </w:r>
          </w:p>
        </w:tc>
      </w:tr>
    </w:tbl>
    <w:p>
      <w:pPr>
        <w:spacing w:after="0"/>
      </w:pPr>
    </w:p>
    <w:p>
      <w:pPr>
        <w:pStyle w:val="Heading1"/>
      </w:pPr>
      <w:r>
        <w:t>23. Document Control</w:t>
      </w:r>
    </w:p>
    <w:p>
      <w:pPr/>
      <w:r>
        <w:t>Document Owner: Head - HR &amp; Administration</w:t>
      </w:r>
    </w:p>
    <w:p>
      <w:pPr/>
      <w:r>
        <w:t>Document ID: HR-REC-003</w:t>
      </w:r>
    </w:p>
    <w:p>
      <w:pPr/>
      <w:r>
        <w:t>Version: 1.0</w:t>
      </w:r>
    </w:p>
    <w:p>
      <w:pPr/>
      <w:r>
        <w:t>Effective Date: 01 April 2026</w:t>
      </w:r>
    </w:p>
    <w:p>
      <w:pPr/>
      <w:r>
        <w:t>Review Frequency: Annual or upon material process change</w:t>
      </w:r>
    </w:p>
    <w:p>
      <w:pPr/>
      <w:r>
        <w:t>The controlled version of this policy is maintained by HR &amp; Administration. Changes should be versioned and communicated through the approved policy distribution process.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Bullet">
    <w:name w:val="Policy Bullet"/>
    <w:pPr>
      <w:spacing w:after="60"/>
      <w:ind w:left="360" w:hanging="202"/>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