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MEDCORE HOSPITALS &amp; HEALTHCARE SERVICES PVT. LTD.</w:t>
        <w:br/>
      </w:r>
      <w:r>
        <w:rPr>
          <w:b/>
          <w:sz w:val="40"/>
        </w:rPr>
        <w:t>COMPLAINT &amp; GRIEVANCE POLICY</w:t>
      </w:r>
    </w:p>
    <w:p>
      <w:pPr>
        <w:jc w:val="center"/>
      </w:pPr>
      <w:r>
        <w:t>Policy owner: Patient Services with Legal &amp; Compliance oversight</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Document ID</w:t>
            </w:r>
          </w:p>
        </w:tc>
        <w:tc>
          <w:tcPr>
            <w:tcW w:type="dxa" w:w="4896"/>
          </w:tcPr>
          <w:p>
            <w:r>
              <w:t>MC-LC-004</w:t>
            </w:r>
          </w:p>
        </w:tc>
      </w:tr>
      <w:tr>
        <w:tc>
          <w:tcPr>
            <w:tcW w:type="dxa" w:w="4896"/>
          </w:tcPr>
          <w:p>
            <w:r>
              <w:rPr>
                <w:b/>
              </w:rPr>
              <w:t>Version</w:t>
            </w:r>
          </w:p>
        </w:tc>
        <w:tc>
          <w:tcPr>
            <w:tcW w:type="dxa" w:w="4896"/>
          </w:tcPr>
          <w:p>
            <w:r>
              <w:t>2.2</w:t>
            </w:r>
          </w:p>
        </w:tc>
      </w:tr>
      <w:tr>
        <w:tc>
          <w:tcPr>
            <w:tcW w:type="dxa" w:w="4896"/>
          </w:tcPr>
          <w:p>
            <w:r>
              <w:rPr>
                <w:b/>
              </w:rPr>
              <w:t>Effective Date</w:t>
            </w:r>
          </w:p>
        </w:tc>
        <w:tc>
          <w:tcPr>
            <w:tcW w:type="dxa" w:w="4896"/>
          </w:tcPr>
          <w:p>
            <w:r>
              <w:t>01 September 2026</w:t>
            </w:r>
          </w:p>
        </w:tc>
      </w:tr>
      <w:tr>
        <w:tc>
          <w:tcPr>
            <w:tcW w:type="dxa" w:w="4896"/>
          </w:tcPr>
          <w:p>
            <w:r>
              <w:rPr>
                <w:b/>
              </w:rPr>
              <w:t>Review Cycle</w:t>
            </w:r>
          </w:p>
        </w:tc>
        <w:tc>
          <w:tcPr>
            <w:tcW w:type="dxa" w:w="4896"/>
          </w:tcPr>
          <w:p>
            <w:r>
              <w:t>Annual</w:t>
            </w:r>
          </w:p>
        </w:tc>
      </w:tr>
      <w:tr>
        <w:tc>
          <w:tcPr>
            <w:tcW w:type="dxa" w:w="4896"/>
          </w:tcPr>
          <w:p>
            <w:r>
              <w:rPr>
                <w:b/>
              </w:rPr>
              <w:t>Classification</w:t>
            </w:r>
          </w:p>
        </w:tc>
        <w:tc>
          <w:tcPr>
            <w:tcW w:type="dxa" w:w="4896"/>
          </w:tcPr>
          <w:p>
            <w:r>
              <w:t>Internal — Confidential</w:t>
            </w:r>
          </w:p>
        </w:tc>
      </w:tr>
    </w:tbl>
    <w:p>
      <w:pPr>
        <w:pStyle w:val="Heading1"/>
      </w:pPr>
      <w:r>
        <w:t>1. Purpose</w:t>
      </w:r>
    </w:p>
    <w:p>
      <w:r>
        <w:t>MedCore provides a consistent process for receiving, recording, investigating, resolving and learning from patient, attendant and service-related complaints. The process is intended to make concerns visible, assign accountability and support timely resolution without discouraging good-faith feedback.</w:t>
      </w:r>
    </w:p>
    <w:p>
      <w:pPr>
        <w:pStyle w:val="Heading1"/>
      </w:pPr>
      <w:r>
        <w:t>2. Scope</w:t>
      </w:r>
    </w:p>
    <w:p>
      <w:r>
        <w:t>The policy applies to complaints concerning patient services, clinical support processes, billing, communication, facilities, privacy, appointments, discharge, staff conduct and other hospital service experiences. Complaints involving clinical safety, privacy or suspected misconduct may require additional escalation under specialist procedures.</w:t>
      </w:r>
    </w:p>
    <w:p>
      <w:pPr>
        <w:pStyle w:val="Heading1"/>
      </w:pPr>
      <w:r>
        <w:t>3. Definitions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Term</w:t>
            </w:r>
          </w:p>
        </w:tc>
        <w:tc>
          <w:tcPr>
            <w:tcW w:type="dxa" w:w="4896"/>
            <w:vAlign w:val="center"/>
          </w:tcPr>
          <w:p>
            <w:r>
              <w:rPr>
                <w:b/>
              </w:rPr>
              <w:t>Meaning</w:t>
            </w:r>
          </w:p>
        </w:tc>
      </w:tr>
      <w:tr>
        <w:tc>
          <w:tcPr>
            <w:tcW w:type="dxa" w:w="4896"/>
          </w:tcPr>
          <w:p>
            <w:r>
              <w:t>Complaint</w:t>
            </w:r>
          </w:p>
        </w:tc>
        <w:tc>
          <w:tcPr>
            <w:tcW w:type="dxa" w:w="4896"/>
          </w:tcPr>
          <w:p>
            <w:r>
              <w:t>A concern or expression of dissatisfaction requiring review or response.</w:t>
            </w:r>
          </w:p>
        </w:tc>
      </w:tr>
      <w:tr>
        <w:tc>
          <w:tcPr>
            <w:tcW w:type="dxa" w:w="4896"/>
          </w:tcPr>
          <w:p>
            <w:r>
              <w:t>Grievance</w:t>
            </w:r>
          </w:p>
        </w:tc>
        <w:tc>
          <w:tcPr>
            <w:tcW w:type="dxa" w:w="4896"/>
          </w:tcPr>
          <w:p>
            <w:r>
              <w:t>A complaint that has been formally escalated or requires structured review.</w:t>
            </w:r>
          </w:p>
        </w:tc>
      </w:tr>
      <w:tr>
        <w:tc>
          <w:tcPr>
            <w:tcW w:type="dxa" w:w="4896"/>
          </w:tcPr>
          <w:p>
            <w:r>
              <w:t>Complainant</w:t>
            </w:r>
          </w:p>
        </w:tc>
        <w:tc>
          <w:tcPr>
            <w:tcW w:type="dxa" w:w="4896"/>
          </w:tcPr>
          <w:p>
            <w:r>
              <w:t>Patient, attendant, representative, employee or other person submitting the concern.</w:t>
            </w:r>
          </w:p>
        </w:tc>
      </w:tr>
      <w:tr>
        <w:tc>
          <w:tcPr>
            <w:tcW w:type="dxa" w:w="4896"/>
          </w:tcPr>
          <w:p>
            <w:r>
              <w:t>Case owner</w:t>
            </w:r>
          </w:p>
        </w:tc>
        <w:tc>
          <w:tcPr>
            <w:tcW w:type="dxa" w:w="4896"/>
          </w:tcPr>
          <w:p>
            <w:r>
              <w:t>Person accountable for coordinating the review and response.</w:t>
            </w:r>
          </w:p>
        </w:tc>
      </w:tr>
      <w:tr>
        <w:tc>
          <w:tcPr>
            <w:tcW w:type="dxa" w:w="4896"/>
          </w:tcPr>
          <w:p>
            <w:r>
              <w:t>Service recovery</w:t>
            </w:r>
          </w:p>
        </w:tc>
        <w:tc>
          <w:tcPr>
            <w:tcW w:type="dxa" w:w="4896"/>
          </w:tcPr>
          <w:p>
            <w:r>
              <w:t>Action taken to address an immediate service issue and restore appropriate experience where possible.</w:t>
            </w:r>
          </w:p>
        </w:tc>
      </w:tr>
    </w:tbl>
    <w:p/>
    <w:p>
      <w:pPr>
        <w:pStyle w:val="Heading1"/>
      </w:pPr>
      <w:r>
        <w:t>4. Complaint Intake Channels</w:t>
      </w:r>
    </w:p>
    <w:p>
      <w:pPr>
        <w:pStyle w:val="ListBullet"/>
      </w:pPr>
      <w:r>
        <w:t>Patient Services desk or designated hospital help point.</w:t>
      </w:r>
    </w:p>
    <w:p>
      <w:pPr>
        <w:pStyle w:val="ListBullet"/>
      </w:pPr>
      <w:r>
        <w:t>Approved telephone or digital complaint channel.</w:t>
      </w:r>
    </w:p>
    <w:p>
      <w:pPr>
        <w:pStyle w:val="ListBullet"/>
      </w:pPr>
      <w:r>
        <w:t>Written complaint submitted at the facility.</w:t>
      </w:r>
    </w:p>
    <w:p>
      <w:pPr>
        <w:pStyle w:val="ListBullet"/>
      </w:pPr>
      <w:r>
        <w:t>Escalation from a department manager or clinical/service team.</w:t>
      </w:r>
    </w:p>
    <w:p>
      <w:pPr>
        <w:pStyle w:val="ListBullet"/>
      </w:pPr>
      <w:r>
        <w:t>Complaint received from an authorized representative or external body.</w:t>
      </w:r>
    </w:p>
    <w:p>
      <w:r>
        <w:t>Front-line staff should record enough information to identify the issue, affected service, date or event, complainant contact preference and immediate risk. Staff should not promise a specific outcome before review.</w:t>
      </w:r>
    </w:p>
    <w:p>
      <w:pPr>
        <w:pStyle w:val="Heading1"/>
      </w:pPr>
      <w:r>
        <w:t>5. Triage and Priority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Priority</w:t>
            </w:r>
          </w:p>
        </w:tc>
        <w:tc>
          <w:tcPr>
            <w:tcW w:type="dxa" w:w="3264"/>
            <w:vAlign w:val="center"/>
          </w:tcPr>
          <w:p>
            <w:r>
              <w:rPr>
                <w:b/>
              </w:rPr>
              <w:t>Typical indicators</w:t>
            </w:r>
          </w:p>
        </w:tc>
        <w:tc>
          <w:tcPr>
            <w:tcW w:type="dxa" w:w="3264"/>
            <w:vAlign w:val="center"/>
          </w:tcPr>
          <w:p>
            <w:r>
              <w:rPr>
                <w:b/>
              </w:rPr>
              <w:t>Initial handling</w:t>
            </w:r>
          </w:p>
        </w:tc>
      </w:tr>
      <w:tr>
        <w:tc>
          <w:tcPr>
            <w:tcW w:type="dxa" w:w="3264"/>
          </w:tcPr>
          <w:p>
            <w:r>
              <w:t>Critical</w:t>
            </w:r>
          </w:p>
        </w:tc>
        <w:tc>
          <w:tcPr>
            <w:tcW w:type="dxa" w:w="3264"/>
          </w:tcPr>
          <w:p>
            <w:r>
              <w:t>Potential serious patient harm, major privacy exposure, credible safety threat, serious misconduct.</w:t>
            </w:r>
          </w:p>
        </w:tc>
        <w:tc>
          <w:tcPr>
            <w:tcW w:type="dxa" w:w="3264"/>
          </w:tcPr>
          <w:p>
            <w:r>
              <w:t>Immediate escalation to responsible senior function; preserve evidence.</w:t>
            </w:r>
          </w:p>
        </w:tc>
      </w:tr>
      <w:tr>
        <w:tc>
          <w:tcPr>
            <w:tcW w:type="dxa" w:w="3264"/>
          </w:tcPr>
          <w:p>
            <w:r>
              <w:t>High</w:t>
            </w:r>
          </w:p>
        </w:tc>
        <w:tc>
          <w:tcPr>
            <w:tcW w:type="dxa" w:w="3264"/>
          </w:tcPr>
          <w:p>
            <w:r>
              <w:t>Significant service failure, repeated issue, financial dispute with material impact, unresolved escalation.</w:t>
            </w:r>
          </w:p>
        </w:tc>
        <w:tc>
          <w:tcPr>
            <w:tcW w:type="dxa" w:w="3264"/>
          </w:tcPr>
          <w:p>
            <w:r>
              <w:t>Assign case owner promptly; management review.</w:t>
            </w:r>
          </w:p>
        </w:tc>
      </w:tr>
      <w:tr>
        <w:tc>
          <w:tcPr>
            <w:tcW w:type="dxa" w:w="3264"/>
          </w:tcPr>
          <w:p>
            <w:r>
              <w:t>Standard</w:t>
            </w:r>
          </w:p>
        </w:tc>
        <w:tc>
          <w:tcPr>
            <w:tcW w:type="dxa" w:w="3264"/>
          </w:tcPr>
          <w:p>
            <w:r>
              <w:t>Routine service concern with no immediate safety or compliance indicator.</w:t>
            </w:r>
          </w:p>
        </w:tc>
        <w:tc>
          <w:tcPr>
            <w:tcW w:type="dxa" w:w="3264"/>
          </w:tcPr>
          <w:p>
            <w:r>
              <w:t>Acknowledge, assign and investigate through normal workflow.</w:t>
            </w:r>
          </w:p>
        </w:tc>
      </w:tr>
      <w:tr>
        <w:tc>
          <w:tcPr>
            <w:tcW w:type="dxa" w:w="3264"/>
          </w:tcPr>
          <w:p>
            <w:r>
              <w:t>Feedback</w:t>
            </w:r>
          </w:p>
        </w:tc>
        <w:tc>
          <w:tcPr>
            <w:tcW w:type="dxa" w:w="3264"/>
          </w:tcPr>
          <w:p>
            <w:r>
              <w:t>Suggestion or positive/neutral observation without a complaint requiring investigation.</w:t>
            </w:r>
          </w:p>
        </w:tc>
        <w:tc>
          <w:tcPr>
            <w:tcW w:type="dxa" w:w="3264"/>
          </w:tcPr>
          <w:p>
            <w:r>
              <w:t>Record or route to service-improvement process.</w:t>
            </w:r>
          </w:p>
        </w:tc>
      </w:tr>
    </w:tbl>
    <w:p/>
    <w:p>
      <w:pPr>
        <w:pStyle w:val="Heading1"/>
      </w:pPr>
      <w:r>
        <w:t>6. Investigation and Resolution</w:t>
      </w:r>
    </w:p>
    <w:p>
      <w:pPr>
        <w:pStyle w:val="ListBullet"/>
      </w:pPr>
      <w:r>
        <w:t>The case owner reviews the complaint, relevant records and responses from involved departments.</w:t>
      </w:r>
    </w:p>
    <w:p>
      <w:pPr>
        <w:pStyle w:val="ListBullet"/>
      </w:pPr>
      <w:r>
        <w:t>Facts should be separated from assumptions. Where records conflict, the discrepancy should be documented and escalated when material.</w:t>
      </w:r>
    </w:p>
    <w:p>
      <w:pPr>
        <w:pStyle w:val="ListBullet"/>
      </w:pPr>
      <w:r>
        <w:t>The response should explain the outcome at an appropriate level, identify any corrective action that can be shared, and avoid unnecessary disclosure of another person's confidential information.</w:t>
      </w:r>
    </w:p>
    <w:p>
      <w:pPr>
        <w:pStyle w:val="ListBullet"/>
      </w:pPr>
      <w:r>
        <w:t>Clinical-safety concerns are routed through the applicable clinical incident or patient-safety process rather than being handled solely as a customer-service matter.</w:t>
      </w:r>
    </w:p>
    <w:p>
      <w:pPr>
        <w:pStyle w:val="Heading1"/>
      </w:pPr>
      <w:r>
        <w:t>7. Target Timelines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Stage</w:t>
            </w:r>
          </w:p>
        </w:tc>
        <w:tc>
          <w:tcPr>
            <w:tcW w:type="dxa" w:w="4896"/>
            <w:vAlign w:val="center"/>
          </w:tcPr>
          <w:p>
            <w:r>
              <w:rPr>
                <w:b/>
              </w:rPr>
              <w:t>Target</w:t>
            </w:r>
          </w:p>
        </w:tc>
      </w:tr>
      <w:tr>
        <w:tc>
          <w:tcPr>
            <w:tcW w:type="dxa" w:w="4896"/>
          </w:tcPr>
          <w:p>
            <w:r>
              <w:t>Acknowledgement</w:t>
            </w:r>
          </w:p>
        </w:tc>
        <w:tc>
          <w:tcPr>
            <w:tcW w:type="dxa" w:w="4896"/>
          </w:tcPr>
          <w:p>
            <w:r>
              <w:t>Within 2 business days for standard complaints; sooner for high/critical cases.</w:t>
            </w:r>
          </w:p>
        </w:tc>
      </w:tr>
      <w:tr>
        <w:tc>
          <w:tcPr>
            <w:tcW w:type="dxa" w:w="4896"/>
          </w:tcPr>
          <w:p>
            <w:r>
              <w:t>Initial assessment</w:t>
            </w:r>
          </w:p>
        </w:tc>
        <w:tc>
          <w:tcPr>
            <w:tcW w:type="dxa" w:w="4896"/>
          </w:tcPr>
          <w:p>
            <w:r>
              <w:t>Within 3 business days unless the matter requires immediate action.</w:t>
            </w:r>
          </w:p>
        </w:tc>
      </w:tr>
      <w:tr>
        <w:tc>
          <w:tcPr>
            <w:tcW w:type="dxa" w:w="4896"/>
          </w:tcPr>
          <w:p>
            <w:r>
              <w:t>Substantive response</w:t>
            </w:r>
          </w:p>
        </w:tc>
        <w:tc>
          <w:tcPr>
            <w:tcW w:type="dxa" w:w="4896"/>
          </w:tcPr>
          <w:p>
            <w:r>
              <w:t>Normally within 10 business days; complex cases may require a documented extension.</w:t>
            </w:r>
          </w:p>
        </w:tc>
      </w:tr>
      <w:tr>
        <w:tc>
          <w:tcPr>
            <w:tcW w:type="dxa" w:w="4896"/>
          </w:tcPr>
          <w:p>
            <w:r>
              <w:t>Escalation</w:t>
            </w:r>
          </w:p>
        </w:tc>
        <w:tc>
          <w:tcPr>
            <w:tcW w:type="dxa" w:w="4896"/>
          </w:tcPr>
          <w:p>
            <w:r>
              <w:t>Immediately for critical issues; promptly for high-priority or repeated unresolved cases.</w:t>
            </w:r>
          </w:p>
        </w:tc>
      </w:tr>
    </w:tbl>
    <w:p/>
    <w:p>
      <w:pPr>
        <w:pStyle w:val="Heading1"/>
      </w:pPr>
      <w:r>
        <w:t>8. Escalation Matrix</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Issue</w:t>
            </w:r>
          </w:p>
        </w:tc>
        <w:tc>
          <w:tcPr>
            <w:tcW w:type="dxa" w:w="3264"/>
            <w:vAlign w:val="center"/>
          </w:tcPr>
          <w:p>
            <w:r>
              <w:rPr>
                <w:b/>
              </w:rPr>
              <w:t>Primary escalation</w:t>
            </w:r>
          </w:p>
        </w:tc>
        <w:tc>
          <w:tcPr>
            <w:tcW w:type="dxa" w:w="3264"/>
            <w:vAlign w:val="center"/>
          </w:tcPr>
          <w:p>
            <w:r>
              <w:rPr>
                <w:b/>
              </w:rPr>
              <w:t>Supporting function</w:t>
            </w:r>
          </w:p>
        </w:tc>
      </w:tr>
      <w:tr>
        <w:tc>
          <w:tcPr>
            <w:tcW w:type="dxa" w:w="3264"/>
          </w:tcPr>
          <w:p>
            <w:r>
              <w:t>Clinical safety concern</w:t>
            </w:r>
          </w:p>
        </w:tc>
        <w:tc>
          <w:tcPr>
            <w:tcW w:type="dxa" w:w="3264"/>
          </w:tcPr>
          <w:p>
            <w:r>
              <w:t>Clinical governance / responsible clinical leader</w:t>
            </w:r>
          </w:p>
        </w:tc>
        <w:tc>
          <w:tcPr>
            <w:tcW w:type="dxa" w:w="3264"/>
          </w:tcPr>
          <w:p>
            <w:r>
              <w:t>Patient Safety</w:t>
            </w:r>
          </w:p>
        </w:tc>
      </w:tr>
      <w:tr>
        <w:tc>
          <w:tcPr>
            <w:tcW w:type="dxa" w:w="3264"/>
          </w:tcPr>
          <w:p>
            <w:r>
              <w:t>Privacy or record concern</w:t>
            </w:r>
          </w:p>
        </w:tc>
        <w:tc>
          <w:tcPr>
            <w:tcW w:type="dxa" w:w="3264"/>
          </w:tcPr>
          <w:p>
            <w:r>
              <w:t>Legal &amp; Compliance / Privacy lead</w:t>
            </w:r>
          </w:p>
        </w:tc>
        <w:tc>
          <w:tcPr>
            <w:tcW w:type="dxa" w:w="3264"/>
          </w:tcPr>
          <w:p>
            <w:r>
              <w:t>IT Security, Health Information Management</w:t>
            </w:r>
          </w:p>
        </w:tc>
      </w:tr>
      <w:tr>
        <w:tc>
          <w:tcPr>
            <w:tcW w:type="dxa" w:w="3264"/>
          </w:tcPr>
          <w:p>
            <w:r>
              <w:t>Billing dispute</w:t>
            </w:r>
          </w:p>
        </w:tc>
        <w:tc>
          <w:tcPr>
            <w:tcW w:type="dxa" w:w="3264"/>
          </w:tcPr>
          <w:p>
            <w:r>
              <w:t>Finance &amp; Billing manager</w:t>
            </w:r>
          </w:p>
        </w:tc>
        <w:tc>
          <w:tcPr>
            <w:tcW w:type="dxa" w:w="3264"/>
          </w:tcPr>
          <w:p>
            <w:r>
              <w:t>Patient Services, Legal &amp; Compliance where needed</w:t>
            </w:r>
          </w:p>
        </w:tc>
      </w:tr>
      <w:tr>
        <w:tc>
          <w:tcPr>
            <w:tcW w:type="dxa" w:w="3264"/>
          </w:tcPr>
          <w:p>
            <w:r>
              <w:t>Staff conduct concern</w:t>
            </w:r>
          </w:p>
        </w:tc>
        <w:tc>
          <w:tcPr>
            <w:tcW w:type="dxa" w:w="3264"/>
          </w:tcPr>
          <w:p>
            <w:r>
              <w:t>Department head / HR</w:t>
            </w:r>
          </w:p>
        </w:tc>
        <w:tc>
          <w:tcPr>
            <w:tcW w:type="dxa" w:w="3264"/>
          </w:tcPr>
          <w:p>
            <w:r>
              <w:t>Legal &amp; Compliance where required</w:t>
            </w:r>
          </w:p>
        </w:tc>
      </w:tr>
      <w:tr>
        <w:tc>
          <w:tcPr>
            <w:tcW w:type="dxa" w:w="3264"/>
          </w:tcPr>
          <w:p>
            <w:r>
              <w:t>Facility or service failure</w:t>
            </w:r>
          </w:p>
        </w:tc>
        <w:tc>
          <w:tcPr>
            <w:tcW w:type="dxa" w:w="3264"/>
          </w:tcPr>
          <w:p>
            <w:r>
              <w:t>Operations / facility manager</w:t>
            </w:r>
          </w:p>
        </w:tc>
        <w:tc>
          <w:tcPr>
            <w:tcW w:type="dxa" w:w="3264"/>
          </w:tcPr>
          <w:p>
            <w:r>
              <w:t>Patient Services</w:t>
            </w:r>
          </w:p>
        </w:tc>
      </w:tr>
    </w:tbl>
    <w:p/>
    <w:p>
      <w:pPr>
        <w:pStyle w:val="Heading1"/>
      </w:pPr>
      <w:r>
        <w:t>9. Closure and Records</w:t>
      </w:r>
    </w:p>
    <w:p>
      <w:r>
        <w:t>A case may be closed when the review is complete, the response has been issued or the applicable escalation has been completed, and required evidence is stored in the approved complaint-management location. Closure should record the outcome, actions, responsible owner and any follow-up date.</w:t>
      </w:r>
    </w:p>
    <w:p>
      <w:pPr>
        <w:pStyle w:val="Heading1"/>
      </w:pPr>
      <w:r>
        <w:t>10. Trend Analysis and Reporting</w:t>
      </w:r>
    </w:p>
    <w:p>
      <w:r>
        <w:t>Patient Services reviews complaint themes, repeat issues, response times, escalation rates and overdue cases. Material or recurring themes should be shared with the relevant operational owner for corrective action and may be included in management reporting.</w:t>
      </w:r>
    </w:p>
    <w:p>
      <w:pPr>
        <w:pStyle w:val="Heading1"/>
      </w:pPr>
      <w:r>
        <w:t>11. Non-Retaliation and Respectful Handling</w:t>
      </w:r>
    </w:p>
    <w:p>
      <w:r>
        <w:t>Good-faith complaints and feedback should be handled respectfully. Staff must not discourage a person from raising a concern or retaliate because a concern was submitted. Abusive or threatening conduct may be managed through applicable safety and conduct procedures while preserving the person's legitimate ability to raise a complaint.</w:t>
      </w:r>
    </w:p>
    <w:p>
      <w:pPr>
        <w:pStyle w:val="Heading1"/>
      </w:pPr>
      <w:r>
        <w:t>12. Policy Review</w:t>
      </w:r>
    </w:p>
    <w:p>
      <w:r>
        <w:t>The policy is reviewed annually and after material changes to complaint channels, regulatory requirements, patient-service processes or organizational responsibilities.</w:t>
      </w:r>
    </w:p>
    <w:p>
      <w:pPr>
        <w:pStyle w:val="Heading1"/>
      </w:pPr>
      <w:r>
        <w:t>Frequently Asked Questions</w:t>
      </w:r>
    </w:p>
    <w:p>
      <w:pPr>
        <w:pStyle w:val="Heading2"/>
      </w:pPr>
      <w:r>
        <w:t>Can a complaint be submitted anonymously?</w:t>
      </w:r>
    </w:p>
    <w:p>
      <w:r>
        <w:t>Yes, where the available channel permits it. Anonymous complaints can still be assessed, although follow-up or confirmation of the outcome may be limited.</w:t>
      </w:r>
    </w:p>
    <w:p>
      <w:pPr>
        <w:pStyle w:val="Heading2"/>
      </w:pPr>
      <w:r>
        <w:t>What if a complaint involves patient safety?</w:t>
      </w:r>
    </w:p>
    <w:p>
      <w:r>
        <w:t>The concern should be escalated immediately through the patient-safety or clinical governance process in addition to the complaint workflow.</w:t>
      </w:r>
    </w:p>
    <w:p>
      <w:pPr>
        <w:pStyle w:val="Heading2"/>
      </w:pPr>
      <w:r>
        <w:t>Can a complaint about a bill be handled by Patient Services alone?</w:t>
      </w:r>
    </w:p>
    <w:p>
      <w:r>
        <w:t>Patient Services can coordinate the case, but Finance &amp; Billing should assess the underlying charge, coding or payment issue. Legal/Compliance may be involved when the dispute raises a compliance or formal legal question.</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Controlled Document • Internal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