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HelixDx User Manual</w:t>
      </w:r>
    </w:p>
    <w:p>
      <w:pPr>
        <w:pStyle w:val="Heading1"/>
        <w:spacing w:after="120" w:before="300"/>
      </w:pPr>
      <w:r>
        <w:t xml:space="preserve">1. Accessing the App</w:t>
      </w:r>
    </w:p>
    <w:p>
      <w:pPr>
        <w:spacing w:after="160"/>
      </w:pPr>
      <w:r>
        <w:t xml:space="preserve">Open your browser and navigate to the live HelixDx site at https://frontend-virid-eight-79.vercel.app. No account, login, or password is required — the assessment is open to anyone with the link.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Confirm the page has loaded fully: you should see the HelixDx logo top-left and a Start Assessment button top-right.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landing page explains what the tool does and lists the four phenotype categories it screens for before you begin.</w:t>
      </w:r>
    </w:p>
    <w:p>
      <w:pPr>
        <w:pStyle w:val="Heading1"/>
        <w:spacing w:after="120" w:before="300"/>
      </w:pPr>
      <w:r>
        <w:t xml:space="preserve">2. Reviewing the Landing Page</w:t>
      </w:r>
    </w:p>
    <w:p>
      <w:pPr>
        <w:spacing w:after="160"/>
      </w:pPr>
      <w:r>
        <w:t xml:space="preserve">Before starting, the landing page gives context that is useful to read once.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Scroll to Four root-cause phenotypes to see short descriptions of Adrenal, Hormonal, Inflammatory, and Metabolic PCOS, and what drives each one.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Scroll to A transparent pipeline, start to finish to see the five stages every submission goes through: digitised questionnaire, scoring engine, biomarker overrides, classification, and targeted protocol.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How the engine works at any time to jump straight to this methodology section.</w:t>
      </w:r>
    </w:p>
    <w:p>
      <w:pPr>
        <w:pStyle w:val="Heading1"/>
        <w:spacing w:after="120" w:before="300"/>
      </w:pPr>
      <w:r>
        <w:t xml:space="preserve">3. Starting the Assessment</w:t>
      </w:r>
    </w:p>
    <w:p>
      <w:pPr>
        <w:spacing w:after="160"/>
      </w:pPr>
      <w:r>
        <w:t xml:space="preserve">Click Begin Assessment (either the top-right button or the one at the bottom of the landing page) to open the questionnaire wizard.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wizard has 8 steps, shown as a progress rail at the top of the page: About You, Adrenal, Hormonal, Inflammatory, Metabolic, Energy Screen, Your Goals, and Review.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the Continue button to move forward and the Back button to return to a previous step at any time — no answers are lost when moving between steps.</w:t>
      </w:r>
    </w:p>
    <w:p>
      <w:pPr>
        <w:pStyle w:val="Heading1"/>
        <w:spacing w:after="120" w:before="300"/>
      </w:pPr>
      <w:r>
        <w:t xml:space="preserve">4. Step 1 — About You</w:t>
      </w:r>
    </w:p>
    <w:p>
      <w:pPr>
        <w:spacing w:after="160"/>
      </w:pPr>
      <w:r>
        <w:t xml:space="preserve">This section collects context for your care team. None of these fields affect your phenotype score.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Fill in your Full Name, Date of Birth, Age, and Biological Sex / Gender Identification.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Fill in your Occupation &amp; Shift Schedule, Marital / Relationship Status &amp; Pregnancy Goals, Ethnicity / Geographic Origin, and Current Living Environment.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Answer whether PCOS was previously diagnosed (and at what age) and whether you have an irregular menstrual cycle.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Under Diet preference, select your Regional cuisine (South Indian or North Indian) and Diet type (Vegetarian, Non-Vegetarian, or Vegan) — these two selections are required before you can continue, since they determine your final diet &amp; exercise protocol.</w:t>
      </w:r>
    </w:p>
    <w:p>
      <w:pPr>
        <w:pStyle w:val="Heading1"/>
        <w:spacing w:after="120" w:before="300"/>
      </w:pPr>
      <w:r>
        <w:t xml:space="preserve">5. Steps 2–5 — Phenotype Questions</w:t>
      </w:r>
    </w:p>
    <w:p>
      <w:pPr>
        <w:spacing w:after="160"/>
      </w:pPr>
      <w:r>
        <w:t xml:space="preserve">Each of the four phenotype sections (Adrenal, Hormonal, Inflammatory, Metabolic) asks a mix of clinical, biochemical, and symptom-based questions.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Clinical Evaluation and Biochemical Evaluation questions ask for lab values (e.g. blood pressure, DHEA-S, cortisol). These are optional — leave any field blank if you don't have the number.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Root Cause Analysis questions are simple Yes / No symptom questions (e.g. fatigue, mood swings, sleep quality) and still count toward your score even with no lab values entered.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reference range is shown under each question's title so you can see what a typical or concerning value looks like.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a field appears already filled in when you reach a new section, it has been carried over from an earlier answer that applies to more than one phenotype — you don't need to re-enter it.</w:t>
      </w:r>
    </w:p>
    <w:p>
      <w:pPr>
        <w:pStyle w:val="Heading1"/>
        <w:spacing w:after="120" w:before="300"/>
      </w:pPr>
      <w:r>
        <w:t xml:space="preserve">6. Step 6 — Energy Screen</w:t>
      </w:r>
    </w:p>
    <w:p>
      <w:pPr>
        <w:spacing w:after="160"/>
      </w:pPr>
      <w:r>
        <w:t xml:space="preserve">This short screen checks for cellular energy / hypoxia issues that can sit underneath any of the four main phenotypes. Answer each question the same way as the phenotype sections — all optional, symptom questions still count.</w:t>
      </w:r>
    </w:p>
    <w:p>
      <w:pPr>
        <w:pStyle w:val="Heading1"/>
        <w:spacing w:after="120" w:before="300"/>
      </w:pPr>
      <w:r>
        <w:t xml:space="preserve">7. Step 7 — Your Goals</w:t>
      </w:r>
    </w:p>
    <w:p>
      <w:pPr>
        <w:spacing w:after="160"/>
      </w:pPr>
      <w:r>
        <w:t xml:space="preserve">Select as many primary health goals as apply to you (e.g. weight management, regular cycles, fertility).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each goal to toggle it on or off — a checkmark appears next to selected goals.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Goals don't change your phenotype score, but they are shown alongside your final protocol so the recommendations can be read with your priorities in mind.</w:t>
      </w:r>
    </w:p>
    <w:p>
      <w:pPr>
        <w:pStyle w:val="Heading1"/>
        <w:spacing w:after="120" w:before="300"/>
      </w:pPr>
      <w:r>
        <w:t xml:space="preserve">8. Step 8 — Review &amp; Submit</w:t>
      </w:r>
    </w:p>
    <w:p>
      <w:pPr>
        <w:spacing w:after="160"/>
      </w:pPr>
      <w:r>
        <w:t xml:space="preserve">This final step summarizes your name, region/diet selection, number of fields answered, and number of goals selected.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the summary is correct. Use Back to correct anything if needed.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See My Results to run the scoring engine, override checks, and classification. Nothing is sent to any AI model — every result traces back to a rule you can read.</w:t>
      </w:r>
    </w:p>
    <w:p>
      <w:pPr>
        <w:pStyle w:val="Heading1"/>
        <w:spacing w:after="120" w:before="300"/>
      </w:pPr>
      <w:r>
        <w:t xml:space="preserve">9. Reading Your Results</w:t>
      </w:r>
    </w:p>
    <w:p>
      <w:pPr>
        <w:spacing w:after="160"/>
      </w:pPr>
      <w:r>
        <w:t xml:space="preserve">The results page opens automatically once scoring completes.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headline banner shows your classification — a Primary phenotype, a Mixed/Combination result, or Inconclusive — Minimal Findings if no positive answers were recorded.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radar chart below the banner plots your percentage score across all four phenotypes (Adrenal, Hormonal, Inflammatory, Metabolic) so you can see at a glance which are dominant.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Scroll down for your targeted diet &amp; exercise protocol, matched to your classification, regional cuisine, and diet type from Step 1.</w:t>
      </w:r>
    </w:p>
    <w:p>
      <w:pPr>
        <w:pStyle w:val="Heading1"/>
        <w:spacing w:after="120" w:before="300"/>
      </w:pPr>
      <w:r>
        <w:t xml:space="preserve">10. Other Options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Restart (top-right corner, available on every assessment page) to clear all answers and begin a new assessment from scratch.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the HelixDx logo (top-left) at any time to return to the landing page.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2026-09-06T23:03:04.173Z</dcterms:created>
  <dcterms:modified xsi:type="dcterms:W3CDTF">2026-09-06T23:03:04.173Z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