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REVIEW PLAN (DRP/DVP)</w:t>
      </w:r>
    </w:p>
    <w:p>
      <w:pPr>
        <w:jc w:val="center"/>
      </w:pPr>
      <w:r>
        <w:rPr>
          <w:b/>
        </w:rPr>
        <w:t>Study: IMMUNO-MEL-201 Phase II Melanoma Immunotherapy Trial</w:t>
        <w:br/>
      </w:r>
      <w:r>
        <w:t>Document No.: DRP-IMM201-001</w:t>
        <w:br/>
        <w:t>Version: 1.0</w:t>
        <w:br/>
        <w:t>Status: Portfolio Example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2026-08-01</w:t>
            </w:r>
          </w:p>
        </w:tc>
        <w:tc>
          <w:tcPr>
            <w:tcW w:type="dxa" w:w="2160"/>
          </w:tcPr>
          <w:p>
            <w:r>
              <w:t>Ishita Bansal (Portfolio)</w:t>
            </w:r>
          </w:p>
        </w:tc>
        <w:tc>
          <w:tcPr>
            <w:tcW w:type="dxa" w:w="2160"/>
          </w:tcPr>
          <w:p>
            <w:r>
              <w:t>Initial version</w:t>
            </w:r>
          </w:p>
        </w:tc>
      </w:tr>
    </w:tbl>
    <w:p>
      <w:pPr>
        <w:pStyle w:val="Heading1"/>
      </w:pPr>
      <w:r>
        <w:t>1. Purpose</w:t>
      </w:r>
    </w:p>
    <w:p>
      <w:r>
        <w:t>Describe the strategy for ongoing clinical data review, discrepancy identification, query management, and database readiness prior to database lock.</w:t>
      </w:r>
    </w:p>
    <w:p>
      <w:pPr>
        <w:pStyle w:val="Heading1"/>
      </w:pPr>
      <w:r>
        <w:t>2. Study Overview</w:t>
      </w:r>
    </w:p>
    <w:p>
      <w:r>
        <w:t>Longitudinal Phase II oncology study managed in REDCap with Screening, Baseline, Week 4, Week 8, Week 12, Week 18, Week 24, End of Treatment and Safety Follow-up events.</w:t>
      </w:r>
    </w:p>
    <w:p>
      <w:pPr>
        <w:pStyle w:val="Heading1"/>
      </w:pPr>
      <w:r>
        <w:t>3. Scope</w:t>
      </w:r>
    </w:p>
    <w:p>
      <w:r>
        <w:t>Applies to all participant-level clinical data including demographics, eligibility, laboratory, treatment, adverse events, concomitant medications, tumor assessments and protocol deviations.</w:t>
      </w:r>
    </w:p>
    <w:p>
      <w:pPr>
        <w:pStyle w:val="Heading1"/>
      </w:pPr>
      <w:r>
        <w:t>4. Roles and Responsibilities</w:t>
      </w:r>
    </w:p>
    <w:p>
      <w:r>
        <w:t>Clinical Data Manager: perform review and queries.</w:t>
      </w:r>
    </w:p>
    <w:p>
      <w:r>
        <w:t>Clinical Research Coordinator: resolve queries.</w:t>
      </w:r>
    </w:p>
    <w:p>
      <w:r>
        <w:t>Principal Investigator: confirm medical decisions.</w:t>
      </w:r>
    </w:p>
    <w:p>
      <w:r>
        <w:t>Medical Monitor: review SAEs.</w:t>
      </w:r>
    </w:p>
    <w:p>
      <w:r>
        <w:t>Biostatistician: review analysis readiness.</w:t>
      </w:r>
    </w:p>
    <w:p>
      <w:pPr>
        <w:pStyle w:val="Heading1"/>
      </w:pPr>
      <w:r>
        <w:t>5. Critical Data Review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Critical Variables</w:t>
            </w:r>
          </w:p>
        </w:tc>
        <w:tc>
          <w:tcPr>
            <w:tcW w:type="dxa" w:w="1728"/>
          </w:tcPr>
          <w:p>
            <w:r>
              <w:t>Frequency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Consent</w:t>
            </w:r>
          </w:p>
        </w:tc>
        <w:tc>
          <w:tcPr>
            <w:tcW w:type="dxa" w:w="1728"/>
          </w:tcPr>
          <w:p>
            <w:r>
              <w:t>Consent Obtained, Consent Date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CDM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Eligibility</w:t>
            </w:r>
          </w:p>
        </w:tc>
        <w:tc>
          <w:tcPr>
            <w:tcW w:type="dxa" w:w="1728"/>
          </w:tcPr>
          <w:p>
            <w:r>
              <w:t>Inclusion/Exclusion, Final Eligibility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CDM/PI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Randomization</w:t>
            </w:r>
          </w:p>
        </w:tc>
        <w:tc>
          <w:tcPr>
            <w:tcW w:type="dxa" w:w="1728"/>
          </w:tcPr>
          <w:p>
            <w:r>
              <w:t>Randomization Number, Arm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CDM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Laboratory</w:t>
            </w:r>
          </w:p>
        </w:tc>
        <w:tc>
          <w:tcPr>
            <w:tcW w:type="dxa" w:w="1728"/>
          </w:tcPr>
          <w:p>
            <w:r>
              <w:t>ANC, WBC, Platelets, ALT, AST, Creatinine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  <w:tc>
          <w:tcPr>
            <w:tcW w:type="dxa" w:w="1728"/>
          </w:tcPr>
          <w:p>
            <w:r>
              <w:t>CDM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Safety</w:t>
            </w:r>
          </w:p>
        </w:tc>
        <w:tc>
          <w:tcPr>
            <w:tcW w:type="dxa" w:w="1728"/>
          </w:tcPr>
          <w:p>
            <w:r>
              <w:t>AE, SAE, Grade, Outcome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  <w:tc>
          <w:tcPr>
            <w:tcW w:type="dxa" w:w="1728"/>
          </w:tcPr>
          <w:p>
            <w:r>
              <w:t>CDM/Medical Monitor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Tumor</w:t>
            </w:r>
          </w:p>
        </w:tc>
        <w:tc>
          <w:tcPr>
            <w:tcW w:type="dxa" w:w="1728"/>
          </w:tcPr>
          <w:p>
            <w:r>
              <w:t>RECIST, Target Lesions</w:t>
            </w:r>
          </w:p>
        </w:tc>
        <w:tc>
          <w:tcPr>
            <w:tcW w:type="dxa" w:w="1728"/>
          </w:tcPr>
          <w:p>
            <w:r>
              <w:t>Each assessment</w:t>
            </w:r>
          </w:p>
        </w:tc>
        <w:tc>
          <w:tcPr>
            <w:tcW w:type="dxa" w:w="1728"/>
          </w:tcPr>
          <w:p>
            <w:r>
              <w:t>CDM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Protocol</w:t>
            </w:r>
          </w:p>
        </w:tc>
        <w:tc>
          <w:tcPr>
            <w:tcW w:type="dxa" w:w="1728"/>
          </w:tcPr>
          <w:p>
            <w:r>
              <w:t>Deviations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  <w:tc>
          <w:tcPr>
            <w:tcW w:type="dxa" w:w="1728"/>
          </w:tcPr>
          <w:p>
            <w:r>
              <w:t>CDM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</w:tbl>
    <w:p>
      <w:pPr>
        <w:pStyle w:val="Heading1"/>
      </w:pPr>
      <w:r>
        <w:t>6. Data Review Workflow</w:t>
      </w:r>
    </w:p>
    <w:p>
      <w:pPr>
        <w:pStyle w:val="ListNumber"/>
      </w:pPr>
      <w:r>
        <w:t>Run built-in REDCap Data Quality rules.</w:t>
      </w:r>
    </w:p>
    <w:p>
      <w:pPr>
        <w:pStyle w:val="ListNumber"/>
      </w:pPr>
      <w:r>
        <w:t>Execute custom edit checks.</w:t>
      </w:r>
    </w:p>
    <w:p>
      <w:pPr>
        <w:pStyle w:val="ListNumber"/>
      </w:pPr>
      <w:r>
        <w:t>Review Enrollment, Laboratory, Safety and Tumor listings.</w:t>
      </w:r>
    </w:p>
    <w:p>
      <w:pPr>
        <w:pStyle w:val="ListNumber"/>
      </w:pPr>
      <w:r>
        <w:t>Document findings in Query Tracker.</w:t>
      </w:r>
    </w:p>
    <w:p>
      <w:pPr>
        <w:pStyle w:val="ListNumber"/>
      </w:pPr>
      <w:r>
        <w:t>Issue queries to site.</w:t>
      </w:r>
    </w:p>
    <w:p>
      <w:pPr>
        <w:pStyle w:val="ListNumber"/>
      </w:pPr>
      <w:r>
        <w:t>Review responses.</w:t>
      </w:r>
    </w:p>
    <w:p>
      <w:pPr>
        <w:pStyle w:val="ListNumber"/>
      </w:pPr>
      <w:r>
        <w:t>Close verified queries.</w:t>
      </w:r>
    </w:p>
    <w:p>
      <w:pPr>
        <w:pStyle w:val="ListNumber"/>
      </w:pPr>
      <w:r>
        <w:t>Repeat until database is clean.</w:t>
      </w:r>
    </w:p>
    <w:p>
      <w:pPr>
        <w:pStyle w:val="Heading1"/>
      </w:pPr>
      <w:r>
        <w:t>7. Edit Check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EC001</w:t>
            </w:r>
          </w:p>
        </w:tc>
        <w:tc>
          <w:tcPr>
            <w:tcW w:type="dxa" w:w="4320"/>
          </w:tcPr>
          <w:p>
            <w:r>
              <w:t>Consent Date required when Consent Obtained = Yes</w:t>
            </w:r>
          </w:p>
        </w:tc>
      </w:tr>
      <w:tr>
        <w:tc>
          <w:tcPr>
            <w:tcW w:type="dxa" w:w="4320"/>
          </w:tcPr>
          <w:p>
            <w:r>
              <w:t>EC002</w:t>
            </w:r>
          </w:p>
        </w:tc>
        <w:tc>
          <w:tcPr>
            <w:tcW w:type="dxa" w:w="4320"/>
          </w:tcPr>
          <w:p>
            <w:r>
              <w:t>Randomization only if Eligible</w:t>
            </w:r>
          </w:p>
        </w:tc>
      </w:tr>
      <w:tr>
        <w:tc>
          <w:tcPr>
            <w:tcW w:type="dxa" w:w="4320"/>
          </w:tcPr>
          <w:p>
            <w:r>
              <w:t>EC003</w:t>
            </w:r>
          </w:p>
        </w:tc>
        <w:tc>
          <w:tcPr>
            <w:tcW w:type="dxa" w:w="4320"/>
          </w:tcPr>
          <w:p>
            <w:r>
              <w:t>Treatment Date on/after Consent Date</w:t>
            </w:r>
          </w:p>
        </w:tc>
      </w:tr>
      <w:tr>
        <w:tc>
          <w:tcPr>
            <w:tcW w:type="dxa" w:w="4320"/>
          </w:tcPr>
          <w:p>
            <w:r>
              <w:t>EC004</w:t>
            </w:r>
          </w:p>
        </w:tc>
        <w:tc>
          <w:tcPr>
            <w:tcW w:type="dxa" w:w="4320"/>
          </w:tcPr>
          <w:p>
            <w:r>
              <w:t>Lab values only when Sample Collected = Yes</w:t>
            </w:r>
          </w:p>
        </w:tc>
      </w:tr>
      <w:tr>
        <w:tc>
          <w:tcPr>
            <w:tcW w:type="dxa" w:w="4320"/>
          </w:tcPr>
          <w:p>
            <w:r>
              <w:t>EC005</w:t>
            </w:r>
          </w:p>
        </w:tc>
        <w:tc>
          <w:tcPr>
            <w:tcW w:type="dxa" w:w="4320"/>
          </w:tcPr>
          <w:p>
            <w:r>
              <w:t>AE End Date on/after AE Start Date</w:t>
            </w:r>
          </w:p>
        </w:tc>
      </w:tr>
      <w:tr>
        <w:tc>
          <w:tcPr>
            <w:tcW w:type="dxa" w:w="4320"/>
          </w:tcPr>
          <w:p>
            <w:r>
              <w:t>EC006</w:t>
            </w:r>
          </w:p>
        </w:tc>
        <w:tc>
          <w:tcPr>
            <w:tcW w:type="dxa" w:w="4320"/>
          </w:tcPr>
          <w:p>
            <w:r>
              <w:t>ConMed End Date on/after Start Date</w:t>
            </w:r>
          </w:p>
        </w:tc>
      </w:tr>
      <w:tr>
        <w:tc>
          <w:tcPr>
            <w:tcW w:type="dxa" w:w="4320"/>
          </w:tcPr>
          <w:p>
            <w:r>
              <w:t>EC007</w:t>
            </w:r>
          </w:p>
        </w:tc>
        <w:tc>
          <w:tcPr>
            <w:tcW w:type="dxa" w:w="4320"/>
          </w:tcPr>
          <w:p>
            <w:r>
              <w:t>Pregnancy testing when applicable</w:t>
            </w:r>
          </w:p>
        </w:tc>
      </w:tr>
      <w:tr>
        <w:tc>
          <w:tcPr>
            <w:tcW w:type="dxa" w:w="4320"/>
          </w:tcPr>
          <w:p>
            <w:r>
              <w:t>EC008</w:t>
            </w:r>
          </w:p>
        </w:tc>
        <w:tc>
          <w:tcPr>
            <w:tcW w:type="dxa" w:w="4320"/>
          </w:tcPr>
          <w:p>
            <w:r>
              <w:t>RECIST response after assessment</w:t>
            </w:r>
          </w:p>
        </w:tc>
      </w:tr>
      <w:tr>
        <w:tc>
          <w:tcPr>
            <w:tcW w:type="dxa" w:w="4320"/>
          </w:tcPr>
          <w:p>
            <w:r>
              <w:t>EC009</w:t>
            </w:r>
          </w:p>
        </w:tc>
        <w:tc>
          <w:tcPr>
            <w:tcW w:type="dxa" w:w="4320"/>
          </w:tcPr>
          <w:p>
            <w:r>
              <w:t>Visit dates within window</w:t>
            </w:r>
          </w:p>
        </w:tc>
      </w:tr>
      <w:tr>
        <w:tc>
          <w:tcPr>
            <w:tcW w:type="dxa" w:w="4320"/>
          </w:tcPr>
          <w:p>
            <w:r>
              <w:t>EC010</w:t>
            </w:r>
          </w:p>
        </w:tc>
        <w:tc>
          <w:tcPr>
            <w:tcW w:type="dxa" w:w="4320"/>
          </w:tcPr>
          <w:p>
            <w:r>
              <w:t>No randomization for screen failures</w:t>
            </w:r>
          </w:p>
        </w:tc>
      </w:tr>
    </w:tbl>
    <w:p>
      <w:pPr>
        <w:pStyle w:val="Heading1"/>
      </w:pPr>
      <w:r>
        <w:t>8. Review Listings</w:t>
      </w:r>
    </w:p>
    <w:p>
      <w:pPr>
        <w:pStyle w:val="ListBullet"/>
      </w:pPr>
      <w:r>
        <w:t>Enrollment</w:t>
      </w:r>
    </w:p>
    <w:p>
      <w:pPr>
        <w:pStyle w:val="ListBullet"/>
      </w:pPr>
      <w:r>
        <w:t>Consent</w:t>
      </w:r>
    </w:p>
    <w:p>
      <w:pPr>
        <w:pStyle w:val="ListBullet"/>
      </w:pPr>
      <w:r>
        <w:t>Eligibility</w:t>
      </w:r>
    </w:p>
    <w:p>
      <w:pPr>
        <w:pStyle w:val="ListBullet"/>
      </w:pPr>
      <w:r>
        <w:t>Medical History</w:t>
      </w:r>
    </w:p>
    <w:p>
      <w:pPr>
        <w:pStyle w:val="ListBullet"/>
      </w:pPr>
      <w:r>
        <w:t>Laboratory</w:t>
      </w:r>
    </w:p>
    <w:p>
      <w:pPr>
        <w:pStyle w:val="ListBullet"/>
      </w:pPr>
      <w:r>
        <w:t>Vital Signs</w:t>
      </w:r>
    </w:p>
    <w:p>
      <w:pPr>
        <w:pStyle w:val="ListBullet"/>
      </w:pPr>
      <w:r>
        <w:t>Treatment</w:t>
      </w:r>
    </w:p>
    <w:p>
      <w:pPr>
        <w:pStyle w:val="ListBullet"/>
      </w:pPr>
      <w:r>
        <w:t>Adverse Events</w:t>
      </w:r>
    </w:p>
    <w:p>
      <w:pPr>
        <w:pStyle w:val="ListBullet"/>
      </w:pPr>
      <w:r>
        <w:t>Concomitant Medications</w:t>
      </w:r>
    </w:p>
    <w:p>
      <w:pPr>
        <w:pStyle w:val="ListBullet"/>
      </w:pPr>
      <w:r>
        <w:t>Tumor Assessment</w:t>
      </w:r>
    </w:p>
    <w:p>
      <w:pPr>
        <w:pStyle w:val="ListBullet"/>
      </w:pPr>
      <w:r>
        <w:t>Protocol Deviations</w:t>
      </w:r>
    </w:p>
    <w:p>
      <w:pPr>
        <w:pStyle w:val="ListBullet"/>
      </w:pPr>
      <w:r>
        <w:t>End of Treatment</w:t>
      </w:r>
    </w:p>
    <w:p>
      <w:pPr>
        <w:pStyle w:val="ListBullet"/>
      </w:pPr>
      <w:r>
        <w:t>Safety Follow-up</w:t>
      </w:r>
    </w:p>
    <w:p>
      <w:pPr>
        <w:pStyle w:val="ListBullet"/>
      </w:pPr>
      <w:r>
        <w:t>Open Queries</w:t>
      </w:r>
    </w:p>
    <w:p>
      <w:pPr>
        <w:pStyle w:val="ListBullet"/>
      </w:pPr>
      <w:r>
        <w:t>Missing Data</w:t>
      </w:r>
    </w:p>
    <w:p>
      <w:pPr>
        <w:pStyle w:val="Heading1"/>
      </w:pPr>
      <w:r>
        <w:t>9. Query Management</w:t>
      </w:r>
    </w:p>
    <w:p>
      <w:r>
        <w:t>Priority definitions: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Consent, Eligibility, SAE</w:t>
            </w:r>
          </w:p>
        </w:tc>
        <w:tc>
          <w:tcPr>
            <w:tcW w:type="dxa" w:w="2880"/>
          </w:tcPr>
          <w:p>
            <w:r>
              <w:t>24–48 h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Labs, dates</w:t>
            </w:r>
          </w:p>
        </w:tc>
        <w:tc>
          <w:tcPr>
            <w:tcW w:type="dxa" w:w="2880"/>
          </w:tcPr>
          <w:p>
            <w:r>
              <w:t>5 business days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Administrative</w:t>
            </w:r>
          </w:p>
        </w:tc>
        <w:tc>
          <w:tcPr>
            <w:tcW w:type="dxa" w:w="2880"/>
          </w:tcPr>
          <w:p>
            <w:r>
              <w:t>10 business days</w:t>
            </w:r>
          </w:p>
        </w:tc>
      </w:tr>
    </w:tbl>
    <w:p>
      <w:pPr>
        <w:pStyle w:val="Heading1"/>
      </w:pPr>
      <w:r>
        <w:t>10. KPIs</w:t>
      </w:r>
    </w:p>
    <w:p>
      <w:pPr>
        <w:pStyle w:val="ListBullet"/>
      </w:pPr>
      <w:r>
        <w:t>Open queries</w:t>
      </w:r>
    </w:p>
    <w:p>
      <w:pPr>
        <w:pStyle w:val="ListBullet"/>
      </w:pPr>
      <w:r>
        <w:t>Average query age</w:t>
      </w:r>
    </w:p>
    <w:p>
      <w:pPr>
        <w:pStyle w:val="ListBullet"/>
      </w:pPr>
      <w:r>
        <w:t>Missing data %</w:t>
      </w:r>
    </w:p>
    <w:p>
      <w:pPr>
        <w:pStyle w:val="ListBullet"/>
      </w:pPr>
      <w:r>
        <w:t>Visit completion</w:t>
      </w:r>
    </w:p>
    <w:p>
      <w:pPr>
        <w:pStyle w:val="ListBullet"/>
      </w:pPr>
      <w:r>
        <w:t>Screen failure rate</w:t>
      </w:r>
    </w:p>
    <w:p>
      <w:pPr>
        <w:pStyle w:val="ListBullet"/>
      </w:pPr>
      <w:r>
        <w:t>SAE count</w:t>
      </w:r>
    </w:p>
    <w:p>
      <w:pPr>
        <w:pStyle w:val="ListBullet"/>
      </w:pPr>
      <w:r>
        <w:t>Protocol deviations</w:t>
      </w:r>
    </w:p>
    <w:p>
      <w:pPr>
        <w:pStyle w:val="ListBullet"/>
      </w:pPr>
      <w:r>
        <w:t>RECIST distribution</w:t>
      </w:r>
    </w:p>
    <w:p>
      <w:pPr>
        <w:pStyle w:val="Heading1"/>
      </w:pPr>
      <w:r>
        <w:t>11. Database Lock Checklist</w:t>
      </w:r>
    </w:p>
    <w:p>
      <w:r>
        <w:t>☐ All queries closed</w:t>
      </w:r>
    </w:p>
    <w:p>
      <w:r>
        <w:t>☐ Eligibility verified</w:t>
      </w:r>
    </w:p>
    <w:p>
      <w:r>
        <w:t>☐ Randomization reconciled</w:t>
      </w:r>
    </w:p>
    <w:p>
      <w:r>
        <w:t>☐ Laboratory review complete</w:t>
      </w:r>
    </w:p>
    <w:p>
      <w:r>
        <w:t>☐ SAEs reconciled</w:t>
      </w:r>
    </w:p>
    <w:p>
      <w:r>
        <w:t>☐ Protocol deviations finalized</w:t>
      </w:r>
    </w:p>
    <w:p>
      <w:r>
        <w:t>☐ RECIST complete</w:t>
      </w:r>
    </w:p>
    <w:p>
      <w:r>
        <w:t>☐ Missing data reviewed</w:t>
      </w:r>
    </w:p>
    <w:p>
      <w:r>
        <w:t>☐ Approval for database lock</w:t>
      </w:r>
    </w:p>
    <w:p>
      <w:pPr>
        <w:pStyle w:val="Heading1"/>
      </w:pPr>
      <w:r>
        <w:t>12. Portfolio Evidence</w:t>
      </w:r>
    </w:p>
    <w:p>
      <w:r>
        <w:t>Attach REDCap screenshots, Data Quality outputs, Query Tracker, SQL examples and Power BI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