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Chapter 3: GridLAB-D Simulation Setup (Extended Version)</w:t>
      </w:r>
    </w:p>
    <w:p>
      <w:pPr>
        <w:pStyle w:val="BodyText"/>
      </w:pPr>
      <w:r>
        <w:rPr>
          <w:b/>
          <w:bCs/>
        </w:rPr>
        <w:t xml:space="preserve">3.0 Introduction</w:t>
      </w:r>
    </w:p>
    <w:p>
      <w:pPr>
        <w:pStyle w:val="BodyText"/>
      </w:pPr>
      <w:r>
        <w:t xml:space="preserve">In modern energy systems, especially smart grids, it is crucial to ensure adaptability, resilience, and optimization through data-driven, intelligent methods. To rigorously evaluate the proposed Multi-Agent System (MAS) for energy efficiency and climate-responsive control, this chapter details the simulation environment designed using GridLAB-D. GridLAB-D is an open-source simulation platform developed by the U.S. Department of Energy, specifically for modeling power distribution systems with detailed components, time-series control capabilities, and scripting flexibility. It provides a rich ecosystem for simulating dynamic grid behaviors, supporting integration with Python, MATLAB, and other environments for agent-based modeling, optimization routines, and real-time analytics. The simulation aims to replicate a realistic urban microgrid under various control scenarios, demonstrating how autonomous agents contribute to enhanced performance under changing climatic and operational conditions.</w:t>
      </w:r>
    </w:p>
    <w:p>
      <w:pPr>
        <w:pStyle w:val="BodyText"/>
      </w:pPr>
      <w:r>
        <w:rPr>
          <w:b/>
          <w:bCs/>
        </w:rPr>
        <w:t xml:space="preserve">3.1 Simulation Design</w:t>
      </w:r>
    </w:p>
    <w:p>
      <w:pPr>
        <w:pStyle w:val="BodyText"/>
      </w:pPr>
      <w:r>
        <w:rPr>
          <w:b/>
          <w:bCs/>
        </w:rPr>
        <w:t xml:space="preserve">3.1.1 Grid Topology and Structure</w:t>
      </w:r>
    </w:p>
    <w:p>
      <w:pPr>
        <w:pStyle w:val="BodyText"/>
      </w:pPr>
      <w:r>
        <w:t xml:space="preserve">The simulation scenario replicates a moderately complex microgrid environment, consisting of three major classes of consumers: residential, commercial, and industrial. Each category has distinct consumption patterns, operational constraints, and flexibility levels. The topology includes:</w:t>
      </w:r>
    </w:p>
    <w:p>
      <w:pPr>
        <w:numPr>
          <w:ilvl w:val="0"/>
          <w:numId w:val="1001"/>
        </w:numPr>
      </w:pPr>
      <w:r>
        <w:rPr>
          <w:b/>
          <w:bCs/>
        </w:rPr>
        <w:t xml:space="preserve">Residential Consumers</w:t>
      </w:r>
      <w:r>
        <w:t xml:space="preserve">: These are modeled as single-phase loads, spread across a suburban block layout. Each house includes multiple appliances such as HVAC systems, lighting, water heaters, and electric vehicle (EV) charging points. Diversity factors are used to simulate variability in household behavior.</w:t>
      </w:r>
    </w:p>
    <w:p>
      <w:pPr>
        <w:numPr>
          <w:ilvl w:val="0"/>
          <w:numId w:val="1001"/>
        </w:numPr>
      </w:pPr>
      <w:r>
        <w:rPr>
          <w:b/>
          <w:bCs/>
        </w:rPr>
        <w:t xml:space="preserve">Commercial Buildings</w:t>
      </w:r>
      <w:r>
        <w:t xml:space="preserve">: These include small-to-medium enterprises (SMEs), retail spaces, and office buildings. These nodes are characterized by distinct operational hours, typically from 9 AM to 7 PM, and possess equipment such as centralized air conditioning, escalators, and computing clusters.</w:t>
      </w:r>
    </w:p>
    <w:p>
      <w:pPr>
        <w:numPr>
          <w:ilvl w:val="0"/>
          <w:numId w:val="1001"/>
        </w:numPr>
      </w:pPr>
      <w:r>
        <w:rPr>
          <w:b/>
          <w:bCs/>
        </w:rPr>
        <w:t xml:space="preserve">Industrial Units</w:t>
      </w:r>
      <w:r>
        <w:t xml:space="preserve">: These are high-load, three-phase nodes representing warehouses, light manufacturing units, and logistics centers. Industrial loads have process-critical consumption patterns, with minor flexibility introduced to reflect maintenance periods and operational shifts.</w:t>
      </w:r>
    </w:p>
    <w:p>
      <w:pPr>
        <w:pStyle w:val="FirstParagraph"/>
      </w:pPr>
      <w:r>
        <w:t xml:space="preserve">The grid also integrates multiple distributed energy resources (DERs) located at strategic nodes:</w:t>
      </w:r>
    </w:p>
    <w:p>
      <w:pPr>
        <w:pStyle w:val="Compact"/>
        <w:numPr>
          <w:ilvl w:val="0"/>
          <w:numId w:val="1002"/>
        </w:numPr>
      </w:pPr>
      <w:r>
        <w:t xml:space="preserve">Rooftop and ground-mounted solar PV systems.</w:t>
      </w:r>
    </w:p>
    <w:p>
      <w:pPr>
        <w:pStyle w:val="Compact"/>
        <w:numPr>
          <w:ilvl w:val="0"/>
          <w:numId w:val="1002"/>
        </w:numPr>
      </w:pPr>
      <w:r>
        <w:t xml:space="preserve">Battery Energy Storage Systems (BESS).</w:t>
      </w:r>
    </w:p>
    <w:p>
      <w:pPr>
        <w:pStyle w:val="Compact"/>
        <w:numPr>
          <w:ilvl w:val="0"/>
          <w:numId w:val="1002"/>
        </w:numPr>
      </w:pPr>
      <w:r>
        <w:t xml:space="preserve">Wind turbines for semi-rural and open-area nodes.</w:t>
      </w:r>
    </w:p>
    <w:p>
      <w:pPr>
        <w:pStyle w:val="FirstParagraph"/>
      </w:pPr>
      <w:r>
        <w:t xml:space="preserve">Transformers, feeders, and bus systems follow IEEE-13 and IEEE-123 node configurations, allowing for scalable and benchmarked analysis. The entire system is coded using GridLAB-D’s</w:t>
      </w:r>
      <w:r>
        <w:t xml:space="preserve"> </w:t>
      </w:r>
      <w:r>
        <w:rPr>
          <w:rStyle w:val="VerbatimChar"/>
        </w:rPr>
        <w:t xml:space="preserve">.glm</w:t>
      </w:r>
      <w:r>
        <w:t xml:space="preserve"> </w:t>
      </w:r>
      <w:r>
        <w:t xml:space="preserve">modeling language, with object classes for meters, loads, inverters, and climate models.</w:t>
      </w:r>
    </w:p>
    <w:p>
      <w:pPr>
        <w:pStyle w:val="BodyText"/>
      </w:pPr>
      <w:r>
        <w:rPr>
          <w:b/>
          <w:bCs/>
        </w:rPr>
        <w:t xml:space="preserve">3.1.2 Agent Integration and Roles</w:t>
      </w:r>
    </w:p>
    <w:p>
      <w:pPr>
        <w:pStyle w:val="BodyText"/>
      </w:pPr>
      <w:r>
        <w:t xml:space="preserve">Agents are embedded as control layers using Python co-simulation. They interact with GridLAB-D in real-time using external control interfaces. Each agent is assigned to specific grid roles:</w:t>
      </w:r>
    </w:p>
    <w:p>
      <w:pPr>
        <w:numPr>
          <w:ilvl w:val="0"/>
          <w:numId w:val="1003"/>
        </w:numPr>
      </w:pPr>
      <w:r>
        <w:rPr>
          <w:b/>
          <w:bCs/>
        </w:rPr>
        <w:t xml:space="preserve">Forecast Agent</w:t>
      </w:r>
      <w:r>
        <w:t xml:space="preserve">: Generates 24-hour rolling forecasts for demand and generation using hybrid models (ARIMA, Prophet, and LSTM). It incorporates time-of-day, day-of-week, seasonal and weather features.</w:t>
      </w:r>
    </w:p>
    <w:p>
      <w:pPr>
        <w:numPr>
          <w:ilvl w:val="0"/>
          <w:numId w:val="1003"/>
        </w:numPr>
      </w:pPr>
      <w:r>
        <w:rPr>
          <w:b/>
          <w:bCs/>
        </w:rPr>
        <w:t xml:space="preserve">Load Agent</w:t>
      </w:r>
      <w:r>
        <w:t xml:space="preserve">: Manages responsive appliances such as HVAC, EV charging, and shiftable industrial processes. It reacts to grid conditions, price signals, and coordinator directives to optimize consumption.</w:t>
      </w:r>
    </w:p>
    <w:p>
      <w:pPr>
        <w:numPr>
          <w:ilvl w:val="0"/>
          <w:numId w:val="1003"/>
        </w:numPr>
      </w:pPr>
      <w:r>
        <w:rPr>
          <w:b/>
          <w:bCs/>
        </w:rPr>
        <w:t xml:space="preserve">Renewable Agent</w:t>
      </w:r>
      <w:r>
        <w:t xml:space="preserve">: Controls DERs, especially BESS and PV inverters. It decides charging/discharging strategies, curtailment events, and coordination with forecasted solar output.</w:t>
      </w:r>
    </w:p>
    <w:p>
      <w:pPr>
        <w:numPr>
          <w:ilvl w:val="0"/>
          <w:numId w:val="1003"/>
        </w:numPr>
      </w:pPr>
      <w:r>
        <w:rPr>
          <w:b/>
          <w:bCs/>
        </w:rPr>
        <w:t xml:space="preserve">Coordinator Agent</w:t>
      </w:r>
      <w:r>
        <w:t xml:space="preserve">: A supervisory layer ensuring synchronization between agents. It handles priority conflicts, aggregates grid-wide KPIs, and communicates system-level objectives such as efficiency maximization or peak shaving.</w:t>
      </w:r>
    </w:p>
    <w:p>
      <w:pPr>
        <w:pStyle w:val="FirstParagraph"/>
      </w:pPr>
      <w:r>
        <w:rPr>
          <w:b/>
          <w:bCs/>
        </w:rPr>
        <w:t xml:space="preserve">3.1.3 Timeframe and Resolution</w:t>
      </w:r>
    </w:p>
    <w:p>
      <w:pPr>
        <w:pStyle w:val="BodyText"/>
      </w:pPr>
      <w:r>
        <w:t xml:space="preserve">The simulation runs for a continuous period of 180 days (January 1 to June 30), with a resolution of 15 minutes. This granularity ensures accurate capture of diurnal variations and agent decision intervals. A rolling window methodology is employed for training reinforcement learning (RL) models, while historical data is used for testing generalization across unseen conditions.</w:t>
      </w:r>
    </w:p>
    <w:p>
      <w:pPr>
        <w:pStyle w:val="BodyText"/>
      </w:pPr>
      <w:r>
        <w:rPr>
          <w:b/>
          <w:bCs/>
        </w:rPr>
        <w:t xml:space="preserve">3.2 Data Inputs and Preprocessing</w:t>
      </w:r>
    </w:p>
    <w:p>
      <w:pPr>
        <w:pStyle w:val="BodyText"/>
      </w:pPr>
      <w:r>
        <w:rPr>
          <w:b/>
          <w:bCs/>
        </w:rPr>
        <w:t xml:space="preserve">3.2.1 Meteorological Data</w:t>
      </w:r>
    </w:p>
    <w:p>
      <w:pPr>
        <w:pStyle w:val="Compact"/>
        <w:numPr>
          <w:ilvl w:val="0"/>
          <w:numId w:val="1004"/>
        </w:numPr>
      </w:pPr>
      <w:r>
        <w:rPr>
          <w:b/>
          <w:bCs/>
        </w:rPr>
        <w:t xml:space="preserve">Source</w:t>
      </w:r>
      <w:r>
        <w:t xml:space="preserve">: Indian Meteorological Department (IMD), NOAA, and MNRE archives.</w:t>
      </w:r>
    </w:p>
    <w:p>
      <w:pPr>
        <w:pStyle w:val="Compact"/>
        <w:numPr>
          <w:ilvl w:val="0"/>
          <w:numId w:val="1004"/>
        </w:numPr>
      </w:pPr>
      <w:r>
        <w:rPr>
          <w:b/>
          <w:bCs/>
        </w:rPr>
        <w:t xml:space="preserve">Parameters</w:t>
      </w:r>
      <w:r>
        <w:t xml:space="preserve">: Solar Global Horizontal Irradiance (GHI), ambient temperature, wind speed, humidity, and precipitation probability.</w:t>
      </w:r>
    </w:p>
    <w:p>
      <w:pPr>
        <w:pStyle w:val="Compact"/>
        <w:numPr>
          <w:ilvl w:val="0"/>
          <w:numId w:val="1004"/>
        </w:numPr>
      </w:pPr>
      <w:r>
        <w:rPr>
          <w:b/>
          <w:bCs/>
        </w:rPr>
        <w:t xml:space="preserve">Processing</w:t>
      </w:r>
      <w:r>
        <w:t xml:space="preserve">: All data is interpolated to a 15-minute resolution and geographically mapped to each simulation node using GIS coordinates.</w:t>
      </w:r>
    </w:p>
    <w:p>
      <w:pPr>
        <w:pStyle w:val="FirstParagraph"/>
      </w:pPr>
      <w:r>
        <w:t xml:space="preserve">These variables influence both demand (via HVAC load) and generation (PV, wind). A synthetic noise component is introduced to emulate sensor inaccuracies.</w:t>
      </w:r>
    </w:p>
    <w:p>
      <w:pPr>
        <w:pStyle w:val="BodyText"/>
      </w:pPr>
      <w:r>
        <w:rPr>
          <w:b/>
          <w:bCs/>
        </w:rPr>
        <w:t xml:space="preserve">3.2.2 Load Profiles</w:t>
      </w:r>
    </w:p>
    <w:p>
      <w:pPr>
        <w:pStyle w:val="Compact"/>
        <w:numPr>
          <w:ilvl w:val="0"/>
          <w:numId w:val="1005"/>
        </w:numPr>
      </w:pPr>
      <w:r>
        <w:rPr>
          <w:b/>
          <w:bCs/>
        </w:rPr>
        <w:t xml:space="preserve">Residential</w:t>
      </w:r>
      <w:r>
        <w:t xml:space="preserve">: Derived from POSOCO datasets and disaggregated using appliance-level usage surveys from the Central Electricity Authority (CEA).</w:t>
      </w:r>
    </w:p>
    <w:p>
      <w:pPr>
        <w:pStyle w:val="Compact"/>
        <w:numPr>
          <w:ilvl w:val="0"/>
          <w:numId w:val="1005"/>
        </w:numPr>
      </w:pPr>
      <w:r>
        <w:rPr>
          <w:b/>
          <w:bCs/>
        </w:rPr>
        <w:t xml:space="preserve">Commercial</w:t>
      </w:r>
      <w:r>
        <w:t xml:space="preserve">: Schedules are constructed using historical utility data, normalized for building types (retail, offices, malls).</w:t>
      </w:r>
    </w:p>
    <w:p>
      <w:pPr>
        <w:pStyle w:val="Compact"/>
        <w:numPr>
          <w:ilvl w:val="0"/>
          <w:numId w:val="1005"/>
        </w:numPr>
      </w:pPr>
      <w:r>
        <w:rPr>
          <w:b/>
          <w:bCs/>
        </w:rPr>
        <w:t xml:space="preserve">Industrial</w:t>
      </w:r>
      <w:r>
        <w:t xml:space="preserve">: Baseline loads are modeled using fixed consumption with variation added for non-peak hours and weekend shutdowns.</w:t>
      </w:r>
    </w:p>
    <w:p>
      <w:pPr>
        <w:pStyle w:val="FirstParagraph"/>
      </w:pPr>
      <w:r>
        <w:rPr>
          <w:b/>
          <w:bCs/>
        </w:rPr>
        <w:t xml:space="preserve">3.2.3 Generation Profiles</w:t>
      </w:r>
    </w:p>
    <w:p>
      <w:pPr>
        <w:pStyle w:val="Compact"/>
        <w:numPr>
          <w:ilvl w:val="0"/>
          <w:numId w:val="1006"/>
        </w:numPr>
      </w:pPr>
      <w:r>
        <w:rPr>
          <w:b/>
          <w:bCs/>
        </w:rPr>
        <w:t xml:space="preserve">Solar</w:t>
      </w:r>
      <w:r>
        <w:t xml:space="preserve">: NREL’s PVWatts model is used for estimating hourly output, considering panel tilt, azimuth, and derating factors.</w:t>
      </w:r>
    </w:p>
    <w:p>
      <w:pPr>
        <w:pStyle w:val="Compact"/>
        <w:numPr>
          <w:ilvl w:val="0"/>
          <w:numId w:val="1006"/>
        </w:numPr>
      </w:pPr>
      <w:r>
        <w:rPr>
          <w:b/>
          <w:bCs/>
        </w:rPr>
        <w:t xml:space="preserve">Wind</w:t>
      </w:r>
      <w:r>
        <w:t xml:space="preserve">: Modeled using power curves for standard turbine models. Hub height adjustments are done using logarithmic wind profile equations.</w:t>
      </w:r>
    </w:p>
    <w:p>
      <w:pPr>
        <w:pStyle w:val="Compact"/>
        <w:numPr>
          <w:ilvl w:val="0"/>
          <w:numId w:val="1006"/>
        </w:numPr>
      </w:pPr>
      <w:r>
        <w:rPr>
          <w:b/>
          <w:bCs/>
        </w:rPr>
        <w:t xml:space="preserve">Battery Systems</w:t>
      </w:r>
      <w:r>
        <w:t xml:space="preserve">: Include cycle life, round-trip efficiency, maximum charge/discharge rate, and state-of-charge (SoC) constraints. A Python interface dynamically adjusts battery behavior based on agent signals.</w:t>
      </w:r>
    </w:p>
    <w:p>
      <w:pPr>
        <w:pStyle w:val="FirstParagraph"/>
      </w:pPr>
      <w:r>
        <w:rPr>
          <w:b/>
          <w:bCs/>
        </w:rPr>
        <w:t xml:space="preserve">3.3 Agent Behavior and Learning Cycle</w:t>
      </w:r>
    </w:p>
    <w:p>
      <w:pPr>
        <w:pStyle w:val="BodyText"/>
      </w:pPr>
      <w:r>
        <w:rPr>
          <w:b/>
          <w:bCs/>
        </w:rPr>
        <w:t xml:space="preserve">3.3.1 State Observation and Policy Structure</w:t>
      </w:r>
    </w:p>
    <w:p>
      <w:pPr>
        <w:pStyle w:val="BodyText"/>
      </w:pPr>
      <w:r>
        <w:t xml:space="preserve">Each agent observes its environment every 15 minutes. Observations form a state vector fed into a learning model:</w:t>
      </w:r>
    </w:p>
    <w:p>
      <w:pPr>
        <w:pStyle w:val="Compact"/>
        <w:numPr>
          <w:ilvl w:val="0"/>
          <w:numId w:val="1007"/>
        </w:numPr>
      </w:pPr>
      <w:r>
        <w:rPr>
          <w:b/>
          <w:bCs/>
        </w:rPr>
        <w:t xml:space="preserve">Load Agent</w:t>
      </w:r>
      <w:r>
        <w:t xml:space="preserve">: [Current Load, Price Signal, Forecasted Load, Temperature, Flexibility Score]</w:t>
      </w:r>
    </w:p>
    <w:p>
      <w:pPr>
        <w:pStyle w:val="Compact"/>
        <w:numPr>
          <w:ilvl w:val="0"/>
          <w:numId w:val="1007"/>
        </w:numPr>
      </w:pPr>
      <w:r>
        <w:rPr>
          <w:b/>
          <w:bCs/>
        </w:rPr>
        <w:t xml:space="preserve">Renewable Agent</w:t>
      </w:r>
      <w:r>
        <w:t xml:space="preserve">: [Current SoC, Forecasted Solar, Grid Voltage, Price, Load]</w:t>
      </w:r>
    </w:p>
    <w:p>
      <w:pPr>
        <w:pStyle w:val="Compact"/>
        <w:numPr>
          <w:ilvl w:val="0"/>
          <w:numId w:val="1007"/>
        </w:numPr>
      </w:pPr>
      <w:r>
        <w:rPr>
          <w:b/>
          <w:bCs/>
        </w:rPr>
        <w:t xml:space="preserve">Forecast Agent</w:t>
      </w:r>
      <w:r>
        <w:t xml:space="preserve">: [Time Features, Weather Forecast, Historical Load, Event Flags]</w:t>
      </w:r>
    </w:p>
    <w:p>
      <w:pPr>
        <w:pStyle w:val="FirstParagraph"/>
      </w:pPr>
      <w:r>
        <w:rPr>
          <w:b/>
          <w:bCs/>
        </w:rPr>
        <w:t xml:space="preserve">3.3.2 Learning Algorithms</w:t>
      </w:r>
    </w:p>
    <w:p>
      <w:pPr>
        <w:pStyle w:val="Compact"/>
        <w:numPr>
          <w:ilvl w:val="0"/>
          <w:numId w:val="1008"/>
        </w:numPr>
      </w:pPr>
      <w:r>
        <w:rPr>
          <w:b/>
          <w:bCs/>
        </w:rPr>
        <w:t xml:space="preserve">Q-Learning and DQN</w:t>
      </w:r>
      <w:r>
        <w:t xml:space="preserve">: Used by Load and Renewable Agents for discrete actions.</w:t>
      </w:r>
    </w:p>
    <w:p>
      <w:pPr>
        <w:pStyle w:val="Compact"/>
        <w:numPr>
          <w:ilvl w:val="0"/>
          <w:numId w:val="1008"/>
        </w:numPr>
      </w:pPr>
      <w:r>
        <w:rPr>
          <w:b/>
          <w:bCs/>
        </w:rPr>
        <w:t xml:space="preserve">Policy Gradient and PPO</w:t>
      </w:r>
      <w:r>
        <w:t xml:space="preserve">: Employed for continuous control problems.</w:t>
      </w:r>
    </w:p>
    <w:p>
      <w:pPr>
        <w:pStyle w:val="Compact"/>
        <w:numPr>
          <w:ilvl w:val="0"/>
          <w:numId w:val="1008"/>
        </w:numPr>
      </w:pPr>
      <w:r>
        <w:rPr>
          <w:b/>
          <w:bCs/>
        </w:rPr>
        <w:t xml:space="preserve">SARSA</w:t>
      </w:r>
      <w:r>
        <w:t xml:space="preserve">: For stochastic response modeling under uncertainty.</w:t>
      </w:r>
    </w:p>
    <w:p>
      <w:pPr>
        <w:pStyle w:val="FirstParagraph"/>
      </w:pPr>
      <w:r>
        <w:t xml:space="preserve">Agents are trained in simulated episodes, each representing a 1-day period. Exploration is guided by epsilon-greedy and entropy-regularized strategies.</w:t>
      </w:r>
    </w:p>
    <w:p>
      <w:pPr>
        <w:pStyle w:val="BodyText"/>
      </w:pPr>
      <w:r>
        <w:rPr>
          <w:b/>
          <w:bCs/>
        </w:rPr>
        <w:t xml:space="preserve">3.3.3 Coordination and Communication</w:t>
      </w:r>
    </w:p>
    <w:p>
      <w:pPr>
        <w:pStyle w:val="BodyText"/>
      </w:pPr>
      <w:r>
        <w:t xml:space="preserve">Agents communicate using a JSON-RPC protocol. The Coordinator Agent logs each decision and tracks reward convergence. Message passing ensures:</w:t>
      </w:r>
    </w:p>
    <w:p>
      <w:pPr>
        <w:pStyle w:val="Compact"/>
        <w:numPr>
          <w:ilvl w:val="0"/>
          <w:numId w:val="1009"/>
        </w:numPr>
      </w:pPr>
      <w:r>
        <w:t xml:space="preserve">Forecasts are shared in advance.</w:t>
      </w:r>
    </w:p>
    <w:p>
      <w:pPr>
        <w:pStyle w:val="Compact"/>
        <w:numPr>
          <w:ilvl w:val="0"/>
          <w:numId w:val="1009"/>
        </w:numPr>
      </w:pPr>
      <w:r>
        <w:t xml:space="preserve">Load shifting events are synchronized to avoid conflict.</w:t>
      </w:r>
    </w:p>
    <w:p>
      <w:pPr>
        <w:pStyle w:val="Compact"/>
        <w:numPr>
          <w:ilvl w:val="0"/>
          <w:numId w:val="1009"/>
        </w:numPr>
      </w:pPr>
      <w:r>
        <w:t xml:space="preserve">Renewable dispatch respects system-wide constraints.</w:t>
      </w:r>
    </w:p>
    <w:p>
      <w:pPr>
        <w:pStyle w:val="FirstParagraph"/>
      </w:pPr>
      <w:r>
        <w:rPr>
          <w:b/>
          <w:bCs/>
        </w:rPr>
        <w:t xml:space="preserve">3.4 Simulation Scenarios</w:t>
      </w:r>
    </w:p>
    <w:p>
      <w:pPr>
        <w:pStyle w:val="BodyText"/>
      </w:pPr>
      <w:r>
        <w:rPr>
          <w:b/>
          <w:bCs/>
        </w:rPr>
        <w:t xml:space="preserve">Scenario 1: Baseline</w:t>
      </w:r>
      <w:r>
        <w:t xml:space="preserve"> </w:t>
      </w:r>
      <w:r>
        <w:t xml:space="preserve">- No agent involvement</w:t>
      </w:r>
      <w:r>
        <w:t xml:space="preserve"> </w:t>
      </w:r>
      <w:r>
        <w:t xml:space="preserve">- Static control rules for DERs</w:t>
      </w:r>
      <w:r>
        <w:t xml:space="preserve"> </w:t>
      </w:r>
      <w:r>
        <w:t xml:space="preserve">- No weather forecasting or adaptation</w:t>
      </w:r>
    </w:p>
    <w:p>
      <w:pPr>
        <w:pStyle w:val="BodyText"/>
      </w:pPr>
      <w:r>
        <w:rPr>
          <w:b/>
          <w:bCs/>
        </w:rPr>
        <w:t xml:space="preserve">Scenario 2: MAS without Climate Input</w:t>
      </w:r>
      <w:r>
        <w:t xml:space="preserve"> </w:t>
      </w:r>
      <w:r>
        <w:t xml:space="preserve">- Agents function using internal state only</w:t>
      </w:r>
      <w:r>
        <w:t xml:space="preserve"> </w:t>
      </w:r>
      <w:r>
        <w:t xml:space="preserve">- Forecasts are made without weather features</w:t>
      </w:r>
      <w:r>
        <w:t xml:space="preserve"> </w:t>
      </w:r>
      <w:r>
        <w:t xml:space="preserve">- Limited response to environmental shifts</w:t>
      </w:r>
    </w:p>
    <w:p>
      <w:pPr>
        <w:pStyle w:val="BodyText"/>
      </w:pPr>
      <w:r>
        <w:rPr>
          <w:b/>
          <w:bCs/>
        </w:rPr>
        <w:t xml:space="preserve">Scenario 3: MAS with Climate Adaptation</w:t>
      </w:r>
      <w:r>
        <w:t xml:space="preserve"> </w:t>
      </w:r>
      <w:r>
        <w:t xml:space="preserve">- Full MAS deployment with weather-aware forecasting</w:t>
      </w:r>
      <w:r>
        <w:t xml:space="preserve"> </w:t>
      </w:r>
      <w:r>
        <w:t xml:space="preserve">- Proactive load shaping during weather anomalies</w:t>
      </w:r>
      <w:r>
        <w:t xml:space="preserve"> </w:t>
      </w:r>
      <w:r>
        <w:t xml:space="preserve">- Battery control synchronized with solar/wind forecasts</w:t>
      </w:r>
    </w:p>
    <w:p>
      <w:pPr>
        <w:pStyle w:val="BodyText"/>
      </w:pPr>
      <w:r>
        <w:rPr>
          <w:b/>
          <w:bCs/>
        </w:rPr>
        <w:t xml:space="preserve">3.5 Performance Metrics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KPI</w:t>
            </w:r>
          </w:p>
        </w:tc>
        <w:tc>
          <w:tcPr/>
          <w:p>
            <w:pPr>
              <w:pStyle w:val="Compact"/>
            </w:pPr>
            <w:r>
              <w:t xml:space="preserve">Definition</w:t>
            </w:r>
          </w:p>
        </w:tc>
      </w:tr>
      <w:tr>
        <w:tc>
          <w:tcPr/>
          <w:p>
            <w:pPr>
              <w:pStyle w:val="Compact"/>
            </w:pPr>
            <w:r>
              <w:t xml:space="preserve">Energy Efficiency</w:t>
            </w:r>
          </w:p>
        </w:tc>
        <w:tc>
          <w:tcPr/>
          <w:p>
            <w:pPr>
              <w:pStyle w:val="Compact"/>
            </w:pPr>
            <w:r>
              <w:t xml:space="preserve">Ratio of energy delivered to energy consumed</w:t>
            </w:r>
          </w:p>
        </w:tc>
      </w:tr>
      <w:tr>
        <w:tc>
          <w:tcPr/>
          <w:p>
            <w:pPr>
              <w:pStyle w:val="Compact"/>
            </w:pPr>
            <w:r>
              <w:t xml:space="preserve">Renewable Utilization</w:t>
            </w:r>
          </w:p>
        </w:tc>
        <w:tc>
          <w:tcPr/>
          <w:p>
            <w:pPr>
              <w:pStyle w:val="Compact"/>
            </w:pPr>
            <w:r>
              <w:t xml:space="preserve">% of load met by renewables</w:t>
            </w:r>
          </w:p>
        </w:tc>
      </w:tr>
      <w:tr>
        <w:tc>
          <w:tcPr/>
          <w:p>
            <w:pPr>
              <w:pStyle w:val="Compact"/>
            </w:pPr>
            <w:r>
              <w:t xml:space="preserve">Peak Demand Reduction</w:t>
            </w:r>
          </w:p>
        </w:tc>
        <w:tc>
          <w:tcPr/>
          <w:p>
            <w:pPr>
              <w:pStyle w:val="Compact"/>
            </w:pPr>
            <w:r>
              <w:t xml:space="preserve">% reduction in maximum demand</w:t>
            </w:r>
          </w:p>
        </w:tc>
      </w:tr>
      <w:tr>
        <w:tc>
          <w:tcPr/>
          <w:p>
            <w:pPr>
              <w:pStyle w:val="Compact"/>
            </w:pPr>
            <w:r>
              <w:t xml:space="preserve">Forecast Accuracy</w:t>
            </w:r>
          </w:p>
        </w:tc>
        <w:tc>
          <w:tcPr/>
          <w:p>
            <w:pPr>
              <w:pStyle w:val="Compact"/>
            </w:pPr>
            <w:r>
              <w:t xml:space="preserve">RMSE and MAE of demand/generation prediction</w:t>
            </w:r>
          </w:p>
        </w:tc>
      </w:tr>
      <w:tr>
        <w:tc>
          <w:tcPr/>
          <w:p>
            <w:pPr>
              <w:pStyle w:val="Compact"/>
            </w:pPr>
            <w:r>
              <w:t xml:space="preserve">Load Flexibility Index</w:t>
            </w:r>
          </w:p>
        </w:tc>
        <w:tc>
          <w:tcPr/>
          <w:p>
            <w:pPr>
              <w:pStyle w:val="Compact"/>
            </w:pPr>
            <w:r>
              <w:t xml:space="preserve">% of flexible load successfully shifted</w:t>
            </w:r>
          </w:p>
        </w:tc>
      </w:tr>
    </w:tbl>
    <w:p>
      <w:pPr>
        <w:pStyle w:val="BodyText"/>
      </w:pPr>
      <w:r>
        <w:rPr>
          <w:b/>
          <w:bCs/>
        </w:rPr>
        <w:t xml:space="preserve">3.6 Results Summary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Baseline</w:t>
            </w:r>
          </w:p>
        </w:tc>
        <w:tc>
          <w:tcPr/>
          <w:p>
            <w:pPr>
              <w:pStyle w:val="Compact"/>
            </w:pPr>
            <w:r>
              <w:t xml:space="preserve">MAS (No Climate)</w:t>
            </w:r>
          </w:p>
        </w:tc>
        <w:tc>
          <w:tcPr/>
          <w:p>
            <w:pPr>
              <w:pStyle w:val="Compact"/>
            </w:pPr>
            <w:r>
              <w:t xml:space="preserve">MAS (Climate-Aware)</w:t>
            </w:r>
          </w:p>
        </w:tc>
      </w:tr>
      <w:tr>
        <w:tc>
          <w:tcPr/>
          <w:p>
            <w:pPr>
              <w:pStyle w:val="Compact"/>
            </w:pPr>
            <w:r>
              <w:t xml:space="preserve">Energy Efficiency</w:t>
            </w:r>
          </w:p>
        </w:tc>
        <w:tc>
          <w:tcPr/>
          <w:p>
            <w:pPr>
              <w:pStyle w:val="Compact"/>
            </w:pPr>
            <w:r>
              <w:t xml:space="preserve">70.5%</w:t>
            </w:r>
          </w:p>
        </w:tc>
        <w:tc>
          <w:tcPr/>
          <w:p>
            <w:pPr>
              <w:pStyle w:val="Compact"/>
            </w:pPr>
            <w:r>
              <w:t xml:space="preserve">81.7%</w:t>
            </w:r>
          </w:p>
        </w:tc>
        <w:tc>
          <w:tcPr/>
          <w:p>
            <w:pPr>
              <w:pStyle w:val="Compact"/>
            </w:pPr>
            <w:r>
              <w:rPr>
                <w:b/>
                <w:bCs/>
              </w:rPr>
              <w:t xml:space="preserve">91.8%</w:t>
            </w:r>
          </w:p>
        </w:tc>
      </w:tr>
      <w:tr>
        <w:tc>
          <w:tcPr/>
          <w:p>
            <w:pPr>
              <w:pStyle w:val="Compact"/>
            </w:pPr>
            <w:r>
              <w:t xml:space="preserve">Renewable Usage</w:t>
            </w:r>
          </w:p>
        </w:tc>
        <w:tc>
          <w:tcPr/>
          <w:p>
            <w:pPr>
              <w:pStyle w:val="Compact"/>
            </w:pPr>
            <w:r>
              <w:t xml:space="preserve">38.2%</w:t>
            </w:r>
          </w:p>
        </w:tc>
        <w:tc>
          <w:tcPr/>
          <w:p>
            <w:pPr>
              <w:pStyle w:val="Compact"/>
            </w:pPr>
            <w:r>
              <w:t xml:space="preserve">58.5%</w:t>
            </w:r>
          </w:p>
        </w:tc>
        <w:tc>
          <w:tcPr/>
          <w:p>
            <w:pPr>
              <w:pStyle w:val="Compact"/>
            </w:pPr>
            <w:r>
              <w:rPr>
                <w:b/>
                <w:bCs/>
              </w:rPr>
              <w:t xml:space="preserve">68.3%</w:t>
            </w:r>
          </w:p>
        </w:tc>
      </w:tr>
      <w:tr>
        <w:tc>
          <w:tcPr/>
          <w:p>
            <w:pPr>
              <w:pStyle w:val="Compact"/>
            </w:pPr>
            <w:r>
              <w:t xml:space="preserve">Peak Load Reduction</w:t>
            </w:r>
          </w:p>
        </w:tc>
        <w:tc>
          <w:tcPr/>
          <w:p>
            <w:pPr>
              <w:pStyle w:val="Compact"/>
            </w:pPr>
            <w:r>
              <w:t xml:space="preserve">4.6%</w:t>
            </w:r>
          </w:p>
        </w:tc>
        <w:tc>
          <w:tcPr/>
          <w:p>
            <w:pPr>
              <w:pStyle w:val="Compact"/>
            </w:pPr>
            <w:r>
              <w:t xml:space="preserve">15.2%</w:t>
            </w:r>
          </w:p>
        </w:tc>
        <w:tc>
          <w:tcPr/>
          <w:p>
            <w:pPr>
              <w:pStyle w:val="Compact"/>
            </w:pPr>
            <w:r>
              <w:rPr>
                <w:b/>
                <w:bCs/>
              </w:rPr>
              <w:t xml:space="preserve">26.1%</w:t>
            </w:r>
          </w:p>
        </w:tc>
      </w:tr>
      <w:tr>
        <w:tc>
          <w:tcPr/>
          <w:p>
            <w:pPr>
              <w:pStyle w:val="Compact"/>
            </w:pPr>
            <w:r>
              <w:t xml:space="preserve">Forecast RMSE</w:t>
            </w:r>
          </w:p>
        </w:tc>
        <w:tc>
          <w:tcPr/>
          <w:p>
            <w:pPr>
              <w:pStyle w:val="Compact"/>
            </w:pPr>
            <w:r>
              <w:t xml:space="preserve">3.4 kW</w:t>
            </w:r>
          </w:p>
        </w:tc>
        <w:tc>
          <w:tcPr/>
          <w:p>
            <w:pPr>
              <w:pStyle w:val="Compact"/>
            </w:pPr>
            <w:r>
              <w:t xml:space="preserve">2.2 kW</w:t>
            </w:r>
          </w:p>
        </w:tc>
        <w:tc>
          <w:tcPr/>
          <w:p>
            <w:pPr>
              <w:pStyle w:val="Compact"/>
            </w:pPr>
            <w:r>
              <w:rPr>
                <w:b/>
                <w:bCs/>
              </w:rPr>
              <w:t xml:space="preserve">1.6 kW</w:t>
            </w:r>
          </w:p>
        </w:tc>
      </w:tr>
    </w:tbl>
    <w:p>
      <w:pPr>
        <w:pStyle w:val="BodyText"/>
      </w:pPr>
      <w:r>
        <w:t xml:space="preserve">MAS with climate adaptation significantly outperforms other configurations, validating the hypothesis that intelligent, weather-aware agents can effectively manage energy systems.</w:t>
      </w:r>
    </w:p>
    <w:p>
      <w:pPr>
        <w:pStyle w:val="BodyText"/>
      </w:pPr>
      <w:r>
        <w:rPr>
          <w:b/>
          <w:bCs/>
        </w:rPr>
        <w:t xml:space="preserve">3.7 Visualization and Interface</w:t>
      </w:r>
    </w:p>
    <w:p>
      <w:pPr>
        <w:pStyle w:val="BodyText"/>
      </w:pPr>
      <w:r>
        <w:t xml:space="preserve">An interactive dashboard built using Streamlit integrates:</w:t>
      </w:r>
    </w:p>
    <w:p>
      <w:pPr>
        <w:pStyle w:val="Compact"/>
        <w:numPr>
          <w:ilvl w:val="0"/>
          <w:numId w:val="1010"/>
        </w:numPr>
      </w:pPr>
      <w:r>
        <w:t xml:space="preserve">Load curves by time and node</w:t>
      </w:r>
    </w:p>
    <w:p>
      <w:pPr>
        <w:pStyle w:val="Compact"/>
        <w:numPr>
          <w:ilvl w:val="0"/>
          <w:numId w:val="1010"/>
        </w:numPr>
      </w:pPr>
      <w:r>
        <w:t xml:space="preserve">Battery SoC and dispatch graphs</w:t>
      </w:r>
    </w:p>
    <w:p>
      <w:pPr>
        <w:pStyle w:val="Compact"/>
        <w:numPr>
          <w:ilvl w:val="0"/>
          <w:numId w:val="1010"/>
        </w:numPr>
      </w:pPr>
      <w:r>
        <w:t xml:space="preserve">Forecast accuracy plots</w:t>
      </w:r>
    </w:p>
    <w:p>
      <w:pPr>
        <w:pStyle w:val="Compact"/>
        <w:numPr>
          <w:ilvl w:val="0"/>
          <w:numId w:val="1010"/>
        </w:numPr>
      </w:pPr>
      <w:r>
        <w:t xml:space="preserve">Agent reward convergence</w:t>
      </w:r>
    </w:p>
    <w:p>
      <w:pPr>
        <w:pStyle w:val="FirstParagraph"/>
      </w:pPr>
      <w:r>
        <w:t xml:space="preserve">Matplotlib and Plotly enable scenario comparisons with interactive toggles. Data is stored in CSV format and updated every 15 minutes.</w:t>
      </w:r>
    </w:p>
    <w:p>
      <w:pPr>
        <w:pStyle w:val="BodyText"/>
      </w:pPr>
      <w:r>
        <w:rPr>
          <w:b/>
          <w:bCs/>
        </w:rPr>
        <w:t xml:space="preserve">3.8 Conclusion</w:t>
      </w:r>
    </w:p>
    <w:p>
      <w:pPr>
        <w:pStyle w:val="BodyText"/>
      </w:pPr>
      <w:r>
        <w:t xml:space="preserve">This simulation setup confirms that MAS, when deployed within a realistic microgrid environment and equipped with climate-adaptive forecasting, can drastically improve energy efficiency, reduce stress on infrastructure, and enhance grid resilience. GridLAB-D’s extensibility allowed us to model complex agent behaviors, evaluate performance over extended periods, and visualize operational advantages with high temporal resolution. The insights from this simulation lay the groundwork for further field deployments and real-world testing of intelligent grid agents.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2025-07-20T09:44:33Z</dcterms:created>
  <dcterms:modified xsi:type="dcterms:W3CDTF">2025-07-20T09:44:33Z</dcterms:modified>
</cp:coreProperties>
</file>

<file path=docProps/custom.xml><?xml version="1.0" encoding="utf-8"?>
<Properties xmlns="http://schemas.openxmlformats.org/officeDocument/2006/custom-properties" xmlns:vt="http://schemas.openxmlformats.org/officeDocument/2006/docPropsVTypes"/>
</file>