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5337" w14:textId="77777777" w:rsidR="009C768D" w:rsidRDefault="009C768D">
      <w:pPr>
        <w:spacing w:after="60"/>
      </w:pPr>
    </w:p>
    <w:p w14:paraId="24330E1E" w14:textId="77777777" w:rsidR="009C768D" w:rsidRDefault="009C768D">
      <w:pPr>
        <w:spacing w:after="60"/>
      </w:pPr>
    </w:p>
    <w:p w14:paraId="55B16406" w14:textId="77777777" w:rsidR="009C768D" w:rsidRDefault="00000000" w:rsidP="00C2458E">
      <w:pPr>
        <w:jc w:val="center"/>
      </w:pPr>
      <w:r>
        <w:rPr>
          <w:b/>
          <w:bCs/>
          <w:color w:val="1F3864"/>
          <w:sz w:val="44"/>
          <w:szCs w:val="44"/>
        </w:rPr>
        <w:t>Cell-Type-Specific Transcriptional Dysregulation in</w:t>
      </w:r>
    </w:p>
    <w:p w14:paraId="19DD65C1" w14:textId="5D956A37" w:rsidR="00C2458E" w:rsidRDefault="00000000" w:rsidP="00C2458E">
      <w:pPr>
        <w:jc w:val="center"/>
        <w:rPr>
          <w:b/>
          <w:bCs/>
          <w:color w:val="1F3864"/>
          <w:sz w:val="44"/>
          <w:szCs w:val="44"/>
        </w:rPr>
      </w:pPr>
      <w:r>
        <w:rPr>
          <w:b/>
          <w:bCs/>
          <w:color w:val="1F3864"/>
          <w:sz w:val="44"/>
          <w:szCs w:val="44"/>
        </w:rPr>
        <w:t>Alzheimer's Disease: A Comprehensive Single-Nucleus RNA-Sequencing Analysis</w:t>
      </w:r>
    </w:p>
    <w:p w14:paraId="7BE79351" w14:textId="68CDE90D" w:rsidR="00C2458E" w:rsidRPr="00C2458E" w:rsidRDefault="00C2458E" w:rsidP="00C2458E">
      <w:pPr>
        <w:jc w:val="center"/>
        <w:rPr>
          <w:b/>
          <w:bCs/>
          <w:color w:val="1F3864"/>
          <w:sz w:val="44"/>
          <w:szCs w:val="44"/>
        </w:rPr>
      </w:pPr>
      <w:r w:rsidRPr="00C2458E">
        <w:rPr>
          <w:b/>
          <w:bCs/>
          <w:color w:val="1F3864"/>
          <w:sz w:val="44"/>
          <w:szCs w:val="44"/>
        </w:rPr>
        <w:t>of the Human Entorhinal Cortex</w:t>
      </w:r>
    </w:p>
    <w:p w14:paraId="5022A46B" w14:textId="77777777" w:rsidR="00C2458E" w:rsidRDefault="00C2458E" w:rsidP="005D30AA">
      <w:pPr>
        <w:jc w:val="center"/>
        <w:rPr>
          <w:i/>
          <w:iCs/>
          <w:color w:val="525252" w:themeColor="accent3" w:themeShade="80"/>
        </w:rPr>
      </w:pPr>
    </w:p>
    <w:p w14:paraId="5AF95B74" w14:textId="26FCED26" w:rsidR="005D30AA" w:rsidRPr="005D30AA" w:rsidRDefault="005D30AA" w:rsidP="005D30AA">
      <w:pPr>
        <w:jc w:val="center"/>
        <w:rPr>
          <w:i/>
          <w:iCs/>
          <w:color w:val="525252" w:themeColor="accent3" w:themeShade="80"/>
        </w:rPr>
      </w:pPr>
      <w:r w:rsidRPr="005D30AA">
        <w:rPr>
          <w:i/>
          <w:iCs/>
          <w:color w:val="525252" w:themeColor="accent3" w:themeShade="80"/>
        </w:rPr>
        <w:t>Ishita Chopra¹</w:t>
      </w:r>
      <w:r w:rsidR="00C2458E">
        <w:rPr>
          <w:i/>
          <w:iCs/>
          <w:color w:val="525252" w:themeColor="accent3" w:themeShade="80"/>
        </w:rPr>
        <w:t xml:space="preserve">, </w:t>
      </w:r>
      <w:r w:rsidR="00C2458E" w:rsidRPr="005D30AA">
        <w:rPr>
          <w:i/>
          <w:iCs/>
          <w:color w:val="525252" w:themeColor="accent3" w:themeShade="80"/>
        </w:rPr>
        <w:t>Sri Sathya Sandilya Garemilla¹</w:t>
      </w:r>
    </w:p>
    <w:p w14:paraId="2B3655C5" w14:textId="77777777" w:rsidR="005D30AA" w:rsidRPr="005D30AA" w:rsidRDefault="005D30AA" w:rsidP="005D30AA">
      <w:pPr>
        <w:jc w:val="center"/>
        <w:rPr>
          <w:i/>
          <w:iCs/>
          <w:color w:val="525252" w:themeColor="accent3" w:themeShade="80"/>
        </w:rPr>
      </w:pPr>
    </w:p>
    <w:p w14:paraId="5E853E3B" w14:textId="77777777" w:rsidR="005D30AA" w:rsidRPr="005D30AA" w:rsidRDefault="005D30AA" w:rsidP="005D30AA">
      <w:pPr>
        <w:jc w:val="center"/>
        <w:rPr>
          <w:i/>
          <w:iCs/>
          <w:color w:val="525252" w:themeColor="accent3" w:themeShade="80"/>
        </w:rPr>
      </w:pPr>
      <w:r w:rsidRPr="005D30AA">
        <w:rPr>
          <w:i/>
          <w:iCs/>
          <w:color w:val="525252" w:themeColor="accent3" w:themeShade="80"/>
        </w:rPr>
        <w:t>¹Department of Biochemistry and Molecular Medicine, School of Medicine and Health Sciences,</w:t>
      </w:r>
    </w:p>
    <w:p w14:paraId="529240DD" w14:textId="439F2BA9" w:rsidR="005D30AA" w:rsidRPr="005D30AA" w:rsidRDefault="005D30AA" w:rsidP="005D30AA">
      <w:pPr>
        <w:jc w:val="center"/>
        <w:rPr>
          <w:i/>
          <w:iCs/>
          <w:color w:val="525252" w:themeColor="accent3" w:themeShade="80"/>
        </w:rPr>
      </w:pPr>
      <w:r w:rsidRPr="005D30AA">
        <w:rPr>
          <w:i/>
          <w:iCs/>
          <w:color w:val="525252" w:themeColor="accent3" w:themeShade="80"/>
        </w:rPr>
        <w:t>The George Washington University, Washington, DC 20052</w:t>
      </w:r>
    </w:p>
    <w:p w14:paraId="53DB1A23" w14:textId="77777777" w:rsidR="005D30AA" w:rsidRPr="005D30AA" w:rsidRDefault="005D30AA" w:rsidP="005D30AA">
      <w:pPr>
        <w:jc w:val="center"/>
        <w:rPr>
          <w:i/>
          <w:iCs/>
          <w:color w:val="525252" w:themeColor="accent3" w:themeShade="80"/>
        </w:rPr>
      </w:pPr>
    </w:p>
    <w:p w14:paraId="5868FDE8" w14:textId="7E7E6915" w:rsidR="009C768D" w:rsidRPr="005D30AA" w:rsidRDefault="005D30AA">
      <w:pPr>
        <w:spacing w:after="240"/>
        <w:jc w:val="center"/>
        <w:rPr>
          <w:i/>
          <w:iCs/>
          <w:color w:val="525252" w:themeColor="accent3" w:themeShade="80"/>
        </w:rPr>
      </w:pPr>
      <w:r w:rsidRPr="005D30AA">
        <w:rPr>
          <w:i/>
          <w:iCs/>
          <w:color w:val="525252" w:themeColor="accent3" w:themeShade="80"/>
          <w:sz w:val="20"/>
          <w:szCs w:val="20"/>
        </w:rPr>
        <w:t xml:space="preserve">References: </w:t>
      </w:r>
      <w:r w:rsidR="00000000" w:rsidRPr="005D30AA">
        <w:rPr>
          <w:i/>
          <w:iCs/>
          <w:color w:val="525252" w:themeColor="accent3" w:themeShade="80"/>
          <w:sz w:val="20"/>
          <w:szCs w:val="20"/>
        </w:rPr>
        <w:t>Data: PRJNA577618 | Grubman et al., Nature Neuroscience (2019)</w:t>
      </w:r>
    </w:p>
    <w:p w14:paraId="4EE18433" w14:textId="77777777" w:rsidR="009C768D" w:rsidRDefault="009C768D">
      <w:pPr>
        <w:spacing w:after="60"/>
      </w:pPr>
    </w:p>
    <w:p w14:paraId="3C9966FA" w14:textId="77777777" w:rsidR="009C768D" w:rsidRDefault="00000000">
      <w:pPr>
        <w:shd w:val="clear" w:color="auto" w:fill="1F3864"/>
        <w:spacing w:before="160" w:after="80"/>
        <w:jc w:val="center"/>
      </w:pPr>
      <w:r>
        <w:rPr>
          <w:b/>
          <w:bCs/>
          <w:color w:val="FFFFFF"/>
          <w:sz w:val="26"/>
          <w:szCs w:val="26"/>
        </w:rPr>
        <w:t>ABSTRACT</w:t>
      </w:r>
    </w:p>
    <w:p w14:paraId="6410657A" w14:textId="77777777" w:rsidR="009C768D" w:rsidRDefault="00000000">
      <w:pPr>
        <w:shd w:val="clear" w:color="auto" w:fill="F2F4F7"/>
        <w:spacing w:before="100" w:after="160" w:line="340" w:lineRule="auto"/>
        <w:ind w:left="360" w:right="360"/>
        <w:jc w:val="both"/>
      </w:pPr>
      <w:r>
        <w:rPr>
          <w:color w:val="111827"/>
        </w:rPr>
        <w:t>Alzheimer's disease (AD) is the leading cause of dementia worldwide, yet its cell-type-specific transcriptional mechanisms remain incompletely understood. Here we present a comprehensive re-analysis of single-nucleus RNA-sequencing (snRNA-</w:t>
      </w:r>
      <w:proofErr w:type="spellStart"/>
      <w:r>
        <w:rPr>
          <w:color w:val="111827"/>
        </w:rPr>
        <w:t>seq</w:t>
      </w:r>
      <w:proofErr w:type="spellEnd"/>
      <w:r>
        <w:rPr>
          <w:color w:val="111827"/>
        </w:rPr>
        <w:t>) data from the human entorhinal cortex (Grubman et al., 2019; PRJNA577618; n = 16 AD, n = 16 Control; 32 individuals total), spanning quality control, clustering, fine cell-type annotation (17 subtypes), differential gene expression, gene set enrichment analysis (GSEA), cell-cell communication inference (</w:t>
      </w:r>
      <w:proofErr w:type="spellStart"/>
      <w:r>
        <w:rPr>
          <w:color w:val="111827"/>
        </w:rPr>
        <w:t>CellChat</w:t>
      </w:r>
      <w:proofErr w:type="spellEnd"/>
      <w:r>
        <w:rPr>
          <w:color w:val="111827"/>
        </w:rPr>
        <w:t xml:space="preserve">), and </w:t>
      </w:r>
      <w:proofErr w:type="spellStart"/>
      <w:r>
        <w:rPr>
          <w:color w:val="111827"/>
        </w:rPr>
        <w:t>pseudotime</w:t>
      </w:r>
      <w:proofErr w:type="spellEnd"/>
      <w:r>
        <w:rPr>
          <w:color w:val="111827"/>
        </w:rPr>
        <w:t xml:space="preserve"> trajectory analysis (Monocle3). We identify a deeply interconnected disease circuit operating across all major brain cell types. Astrocytes undergo wholesale transcriptional reprogramming toward innate immune identity driven by Notch-HES5 signalling and microglial SPP1-CD44 communication. Microglia convert from a homeostatic surveillance state to a disease-associated (DAM) phenotype — a process accelerated in AD as quantified by reciprocal DAM/homeostatic signature scoring along </w:t>
      </w:r>
      <w:proofErr w:type="spellStart"/>
      <w:r>
        <w:rPr>
          <w:color w:val="111827"/>
        </w:rPr>
        <w:t>pseudotime</w:t>
      </w:r>
      <w:proofErr w:type="spellEnd"/>
      <w:r>
        <w:rPr>
          <w:color w:val="111827"/>
        </w:rPr>
        <w:t>. The oligodendrocyte lineage exhibits a differentiation bottleneck at the committed OPC (COP) stage, mediated by NF-</w:t>
      </w:r>
      <w:proofErr w:type="spellStart"/>
      <w:r>
        <w:rPr>
          <w:color w:val="111827"/>
        </w:rPr>
        <w:t>κB</w:t>
      </w:r>
      <w:proofErr w:type="spellEnd"/>
      <w:r>
        <w:rPr>
          <w:color w:val="111827"/>
        </w:rPr>
        <w:t xml:space="preserve">-driven inflammatory activation and loss of axonal NRXN3-neuroligin recognition signals. Excitatory layer 2/3 neurons — the most vulnerable population — aberrantly upregulate adaptive immune and cytotoxic gene programs indicative of MHC-I induction. Endothelial cells show near-complete loss of neurovascular coupling programs including learning, cognition, and synaptic support gene sets, alongside tight junction and ion transporter downregulation. A single de novo SPP1-CD44 interaction from microglia to astrocytes, completely absent in controls, emerges as the </w:t>
      </w:r>
      <w:r>
        <w:rPr>
          <w:color w:val="111827"/>
        </w:rPr>
        <w:lastRenderedPageBreak/>
        <w:t xml:space="preserve">mechanistic relay connecting microglial activation to astrocyte reactivity. HES5 rising at late </w:t>
      </w:r>
      <w:proofErr w:type="spellStart"/>
      <w:r>
        <w:rPr>
          <w:color w:val="111827"/>
        </w:rPr>
        <w:t>pseudotime</w:t>
      </w:r>
      <w:proofErr w:type="spellEnd"/>
      <w:r>
        <w:rPr>
          <w:color w:val="111827"/>
        </w:rPr>
        <w:t xml:space="preserve"> in both oligodendrocyte and astrocyte trajectories identifies Notch hyperactivation as a shared pan-glial driver of two otherwise distinct pathologies. These findings provide a systems-level framework for understanding coordinated cell-type vulnerability in Alzheimer's disease and identify multiple mechanistically actionable molecular targets.</w:t>
      </w:r>
    </w:p>
    <w:p w14:paraId="6411DF4C" w14:textId="77777777" w:rsidR="009C768D" w:rsidRDefault="00000000">
      <w:pPr>
        <w:shd w:val="clear" w:color="auto" w:fill="F2F4F7"/>
        <w:spacing w:after="160"/>
        <w:ind w:left="360" w:right="360"/>
        <w:jc w:val="both"/>
      </w:pPr>
      <w:r>
        <w:rPr>
          <w:b/>
          <w:bCs/>
          <w:color w:val="2E5FA3"/>
          <w:sz w:val="20"/>
          <w:szCs w:val="20"/>
        </w:rPr>
        <w:t xml:space="preserve">Keywords: </w:t>
      </w:r>
      <w:r>
        <w:rPr>
          <w:i/>
          <w:iCs/>
          <w:color w:val="374151"/>
          <w:sz w:val="20"/>
          <w:szCs w:val="20"/>
        </w:rPr>
        <w:t>Alzheimer's disease, single-nucleus RNA-</w:t>
      </w:r>
      <w:proofErr w:type="spellStart"/>
      <w:r>
        <w:rPr>
          <w:i/>
          <w:iCs/>
          <w:color w:val="374151"/>
          <w:sz w:val="20"/>
          <w:szCs w:val="20"/>
        </w:rPr>
        <w:t>seq</w:t>
      </w:r>
      <w:proofErr w:type="spellEnd"/>
      <w:r>
        <w:rPr>
          <w:i/>
          <w:iCs/>
          <w:color w:val="374151"/>
          <w:sz w:val="20"/>
          <w:szCs w:val="20"/>
        </w:rPr>
        <w:t xml:space="preserve">, entorhinal cortex, microglia DAM, reactive astrogliosis, oligodendrocyte differentiation, </w:t>
      </w:r>
      <w:proofErr w:type="spellStart"/>
      <w:r>
        <w:rPr>
          <w:i/>
          <w:iCs/>
          <w:color w:val="374151"/>
          <w:sz w:val="20"/>
          <w:szCs w:val="20"/>
        </w:rPr>
        <w:t>CellChat</w:t>
      </w:r>
      <w:proofErr w:type="spellEnd"/>
      <w:r>
        <w:rPr>
          <w:i/>
          <w:iCs/>
          <w:color w:val="374151"/>
          <w:sz w:val="20"/>
          <w:szCs w:val="20"/>
        </w:rPr>
        <w:t xml:space="preserve">, </w:t>
      </w:r>
      <w:proofErr w:type="spellStart"/>
      <w:r>
        <w:rPr>
          <w:i/>
          <w:iCs/>
          <w:color w:val="374151"/>
          <w:sz w:val="20"/>
          <w:szCs w:val="20"/>
        </w:rPr>
        <w:t>pseudotime</w:t>
      </w:r>
      <w:proofErr w:type="spellEnd"/>
      <w:r>
        <w:rPr>
          <w:i/>
          <w:iCs/>
          <w:color w:val="374151"/>
          <w:sz w:val="20"/>
          <w:szCs w:val="20"/>
        </w:rPr>
        <w:t>, HES5, SPP1-CD44</w:t>
      </w:r>
    </w:p>
    <w:p w14:paraId="1CB0489E" w14:textId="77777777" w:rsidR="009C768D" w:rsidRDefault="009C768D">
      <w:pPr>
        <w:spacing w:after="60"/>
      </w:pPr>
    </w:p>
    <w:p w14:paraId="31DE9F5B" w14:textId="77777777" w:rsidR="009C768D" w:rsidRDefault="00000000">
      <w:pPr>
        <w:pStyle w:val="Heading1"/>
        <w:pBdr>
          <w:bottom w:val="single" w:sz="8" w:space="4" w:color="2E5FA3"/>
        </w:pBdr>
        <w:spacing w:before="360" w:after="160"/>
      </w:pPr>
      <w:r>
        <w:t>1. Introduction</w:t>
      </w:r>
    </w:p>
    <w:p w14:paraId="44942440" w14:textId="77777777" w:rsidR="009C768D" w:rsidRDefault="00000000">
      <w:pPr>
        <w:pStyle w:val="Heading2"/>
        <w:spacing w:before="280" w:after="120"/>
      </w:pPr>
      <w:r>
        <w:t>1.1 Alzheimer's Disease: Global Burden and Unresolved Biology</w:t>
      </w:r>
    </w:p>
    <w:p w14:paraId="023F7BF4" w14:textId="77777777" w:rsidR="009C768D" w:rsidRDefault="00000000">
      <w:pPr>
        <w:spacing w:before="80" w:after="120" w:line="360" w:lineRule="auto"/>
        <w:jc w:val="both"/>
      </w:pPr>
      <w:r>
        <w:t>Alzheimer's disease is the most prevalent neurodegenerative disorder, affecting over 55 million people worldwide and accounting for 60–70% of all dementia cases. It is characterised neuropathologically by the progressive accumulation of extracellular amyloid-beta (Aβ) plaques and intraneuronal neurofibrillary tangles composed of hyperphosphorylated tau, accompanied by widespread synaptic loss, neuroinflammation, and eventual neuronal death. Despite decades of research, the precise sequence of molecular events connecting these pathological hallmarks to cell-specific dysfunction and cognitive decline remains incompletely understood.</w:t>
      </w:r>
    </w:p>
    <w:p w14:paraId="5882E4CE" w14:textId="07238FC7" w:rsidR="009C768D" w:rsidRDefault="00000000">
      <w:pPr>
        <w:spacing w:before="80" w:after="120" w:line="360" w:lineRule="auto"/>
        <w:jc w:val="both"/>
      </w:pPr>
      <w:r>
        <w:t>The entorhinal cortex (EC) occupies a pivotal position in this disease process. As the primary gateway between the hippocampus and neocortex, the EC mediates episodic memory encoding and spatial navigation cognitive functions among the first to deteriorate in AD. Critically, the EC is one of the earliest regions to accumulate tau pathology in Braak staging, making it an ideal tissue for interrogating the transcriptional changes that precede and accompany neurodegeneration.</w:t>
      </w:r>
    </w:p>
    <w:p w14:paraId="30909046" w14:textId="77777777" w:rsidR="009C768D" w:rsidRDefault="00000000">
      <w:pPr>
        <w:spacing w:before="80" w:after="120" w:line="360" w:lineRule="auto"/>
        <w:jc w:val="both"/>
      </w:pPr>
      <w:r>
        <w:t>Classical approaches to studying AD have relied on bulk tissue transcriptomics, which inevitably average signals across the highly heterogeneous cellular composition of the brain. This averaging obscures cell-type-specific contributions, masks subpopulation dynamics, and misattributes transcriptional changes to the wrong cellular origin. The advent of single-nucleus RNA sequencing (snRNA-</w:t>
      </w:r>
      <w:proofErr w:type="spellStart"/>
      <w:r>
        <w:t>seq</w:t>
      </w:r>
      <w:proofErr w:type="spellEnd"/>
      <w:r>
        <w:t>) has transformed this landscape, enabling simultaneous transcriptional profiling of all major brain cell types from the same post-mortem tissue without the need for fresh cell isolation.</w:t>
      </w:r>
    </w:p>
    <w:p w14:paraId="34FBAB51" w14:textId="77777777" w:rsidR="009C768D" w:rsidRDefault="00000000">
      <w:pPr>
        <w:pStyle w:val="Heading2"/>
        <w:spacing w:before="280" w:after="120"/>
      </w:pPr>
      <w:r>
        <w:t>1.2 The Grubman et al. (2019) Dataset</w:t>
      </w:r>
    </w:p>
    <w:p w14:paraId="35E80CC1" w14:textId="77777777" w:rsidR="009C768D" w:rsidRDefault="00000000">
      <w:pPr>
        <w:spacing w:before="80" w:after="120" w:line="360" w:lineRule="auto"/>
        <w:jc w:val="both"/>
      </w:pPr>
      <w:r>
        <w:lastRenderedPageBreak/>
        <w:t xml:space="preserve">The foundational dataset for this study was generated by Grubman and colleagues (Nature Neuroscience, 2019; DOI: 10.1038/s41593-019-0539-4), who performed single-nucleus RNA sequencing on entorhinal cortex samples from individuals with confirmed Alzheimer's disease and matched controls. The raw sequencing data are deposited at the NCBI Sequence Read Archive under </w:t>
      </w:r>
      <w:proofErr w:type="spellStart"/>
      <w:r>
        <w:t>BioProject</w:t>
      </w:r>
      <w:proofErr w:type="spellEnd"/>
      <w:r>
        <w:t xml:space="preserve"> accession PRJNA577618. The original study identified cell-type-specific transcriptional changes and transcription factor regulatory networks in AD, but focused primarily on broad cell-type-level observations and transcription factor inference.</w:t>
      </w:r>
    </w:p>
    <w:p w14:paraId="223E2926" w14:textId="77777777" w:rsidR="009C768D" w:rsidRDefault="00000000">
      <w:pPr>
        <w:spacing w:before="80" w:after="120" w:line="360" w:lineRule="auto"/>
        <w:jc w:val="both"/>
      </w:pPr>
      <w:r>
        <w:t xml:space="preserve">In the present study, we undertake a substantially deeper and more comprehensive re-analysis of this dataset. We extend the original analysis by implementing: (1) fine-resolution cell subtype annotation across 17 subtypes, (2) layer-specific neuronal differential expression, (3) gene set enrichment analysis at both broad and fine resolution, (4) intercellular ligand-receptor communication inference via </w:t>
      </w:r>
      <w:proofErr w:type="spellStart"/>
      <w:r>
        <w:t>CellChat</w:t>
      </w:r>
      <w:proofErr w:type="spellEnd"/>
      <w:r>
        <w:t xml:space="preserve">, and (5) </w:t>
      </w:r>
      <w:proofErr w:type="spellStart"/>
      <w:r>
        <w:t>pseudotime</w:t>
      </w:r>
      <w:proofErr w:type="spellEnd"/>
      <w:r>
        <w:t xml:space="preserve"> trajectory analysis of three key cell lineages via Monocle3. This multi-modal analytical framework reveals a unified disease circuit that connects microglial, astrocytic, </w:t>
      </w:r>
      <w:proofErr w:type="spellStart"/>
      <w:r>
        <w:t>oligodendrocytic</w:t>
      </w:r>
      <w:proofErr w:type="spellEnd"/>
      <w:r>
        <w:t>, neuronal, and endothelial dysfunction through specific molecular relays.</w:t>
      </w:r>
    </w:p>
    <w:p w14:paraId="45BD52E6" w14:textId="77777777" w:rsidR="009C768D" w:rsidRDefault="00000000">
      <w:pPr>
        <w:pStyle w:val="Heading2"/>
        <w:spacing w:before="280" w:after="120"/>
      </w:pPr>
      <w:r>
        <w:t>1.3 Prior Work and Knowledge Gaps</w:t>
      </w:r>
    </w:p>
    <w:p w14:paraId="0B220EF6" w14:textId="3EA3F1B9" w:rsidR="009C768D" w:rsidRDefault="00000000">
      <w:pPr>
        <w:spacing w:before="80" w:after="120" w:line="360" w:lineRule="auto"/>
        <w:jc w:val="both"/>
      </w:pPr>
      <w:r>
        <w:t>Previous snRNA-</w:t>
      </w:r>
      <w:proofErr w:type="spellStart"/>
      <w:r>
        <w:t>seq</w:t>
      </w:r>
      <w:proofErr w:type="spellEnd"/>
      <w:r>
        <w:t xml:space="preserve"> studies of AD have established several important findings: the existence of disease-associated microglia (DAM) first described in mouse models and subsequently confirmed in human tissue characterised by upregulation of SPP1, APOE, TREM2, and complement genes alongside downregulation of homeostatic markers such as P2RY12 and TMEM119; the presence of reactive astrocyte subpopulations with activated inflammatory programs; and the selective vulnerability of excitatory cortical neurons in superficial layers. However, critical questions remain unresolved.</w:t>
      </w:r>
    </w:p>
    <w:p w14:paraId="34A498D5" w14:textId="70A8DA94" w:rsidR="009C768D" w:rsidRDefault="00000000">
      <w:pPr>
        <w:spacing w:before="80" w:after="120" w:line="360" w:lineRule="auto"/>
        <w:jc w:val="both"/>
      </w:pPr>
      <w:r>
        <w:t xml:space="preserve">First, the precise intercellular signals by which microglial activation drives astrocyte reactivity in human AD tissue have not been identified at the ligand-receptor level. Second, the trajectory of the oligodendrocyte lineage specifically whether differentiation is blocked at the OPC or COP stage, and by what molecular mechanism has not been characterised by </w:t>
      </w:r>
      <w:proofErr w:type="spellStart"/>
      <w:r>
        <w:t>pseudotime</w:t>
      </w:r>
      <w:proofErr w:type="spellEnd"/>
      <w:r>
        <w:t xml:space="preserve"> in human EC tissue. Third, the laminar specificity of neuronal immune gene induction (MHC-I pathway) has not been documented separately for L2/3 versus L5/6 neurons. Fourth, the convergence of Notch-HES5 signalling across both oligodendrocyte and astrocyte trajectories has not been reported as a unifying pan-glial mechanism.</w:t>
      </w:r>
    </w:p>
    <w:p w14:paraId="2987F654" w14:textId="77777777" w:rsidR="009C768D" w:rsidRDefault="00000000">
      <w:pPr>
        <w:spacing w:before="80" w:after="120" w:line="360" w:lineRule="auto"/>
        <w:jc w:val="both"/>
      </w:pPr>
      <w:r>
        <w:t>The present study addresses all four of these gaps using the Grubman et al. entorhinal cortex snRNA-</w:t>
      </w:r>
      <w:proofErr w:type="spellStart"/>
      <w:r>
        <w:t>seq</w:t>
      </w:r>
      <w:proofErr w:type="spellEnd"/>
      <w:r>
        <w:t xml:space="preserve"> dataset with an expanded analytical pipeline.</w:t>
      </w:r>
    </w:p>
    <w:p w14:paraId="6001AAE9" w14:textId="77777777" w:rsidR="009C768D" w:rsidRDefault="00000000">
      <w:pPr>
        <w:pStyle w:val="Heading2"/>
        <w:spacing w:before="280" w:after="120"/>
      </w:pPr>
      <w:r>
        <w:lastRenderedPageBreak/>
        <w:t>1.4 Study Objectives</w:t>
      </w:r>
    </w:p>
    <w:p w14:paraId="3B06A7E7" w14:textId="77777777" w:rsidR="009C768D" w:rsidRDefault="00000000">
      <w:pPr>
        <w:spacing w:before="80" w:after="120" w:line="360" w:lineRule="auto"/>
        <w:jc w:val="both"/>
      </w:pPr>
      <w:r>
        <w:t>This study has four principal objectives:</w:t>
      </w:r>
    </w:p>
    <w:p w14:paraId="09641B0B" w14:textId="77777777" w:rsidR="009C768D" w:rsidRDefault="00000000">
      <w:pPr>
        <w:pStyle w:val="ListParagraph"/>
        <w:numPr>
          <w:ilvl w:val="0"/>
          <w:numId w:val="2"/>
        </w:numPr>
        <w:spacing w:before="60" w:after="60" w:line="320" w:lineRule="auto"/>
      </w:pPr>
      <w:r>
        <w:t>To perform comprehensive quality-controlled, integrated snRNA-</w:t>
      </w:r>
      <w:proofErr w:type="spellStart"/>
      <w:r>
        <w:t>seq</w:t>
      </w:r>
      <w:proofErr w:type="spellEnd"/>
      <w:r>
        <w:t xml:space="preserve"> clustering and fine cell-type annotation of the Grubman et al. PRJNA577618 dataset at single-cell resolution.</w:t>
      </w:r>
    </w:p>
    <w:p w14:paraId="606E2B78" w14:textId="77777777" w:rsidR="009C768D" w:rsidRDefault="00000000">
      <w:pPr>
        <w:pStyle w:val="ListParagraph"/>
        <w:numPr>
          <w:ilvl w:val="0"/>
          <w:numId w:val="2"/>
        </w:numPr>
        <w:spacing w:before="60" w:after="60" w:line="320" w:lineRule="auto"/>
      </w:pPr>
      <w:r>
        <w:t>To characterise differential gene expression and pathway-level transcriptional changes across 16 fine cell subtypes comparing AD and Control conditions.</w:t>
      </w:r>
    </w:p>
    <w:p w14:paraId="7D867674" w14:textId="77777777" w:rsidR="009C768D" w:rsidRDefault="00000000">
      <w:pPr>
        <w:pStyle w:val="ListParagraph"/>
        <w:numPr>
          <w:ilvl w:val="0"/>
          <w:numId w:val="2"/>
        </w:numPr>
        <w:spacing w:before="60" w:after="60" w:line="320" w:lineRule="auto"/>
      </w:pPr>
      <w:r>
        <w:t xml:space="preserve">To infer condition-specific intercellular communication networks using </w:t>
      </w:r>
      <w:proofErr w:type="spellStart"/>
      <w:r>
        <w:t>CellChat</w:t>
      </w:r>
      <w:proofErr w:type="spellEnd"/>
      <w:r>
        <w:t xml:space="preserve"> and identify the key ligand-receptor pairs gained and lost in AD.</w:t>
      </w:r>
    </w:p>
    <w:p w14:paraId="2A7B3482" w14:textId="77777777" w:rsidR="009C768D" w:rsidRDefault="00000000">
      <w:pPr>
        <w:pStyle w:val="ListParagraph"/>
        <w:numPr>
          <w:ilvl w:val="0"/>
          <w:numId w:val="2"/>
        </w:numPr>
        <w:spacing w:before="60" w:after="60" w:line="320" w:lineRule="auto"/>
      </w:pPr>
      <w:r>
        <w:t xml:space="preserve">To reconstruct </w:t>
      </w:r>
      <w:proofErr w:type="spellStart"/>
      <w:r>
        <w:t>pseudotime</w:t>
      </w:r>
      <w:proofErr w:type="spellEnd"/>
      <w:r>
        <w:t xml:space="preserve"> trajectories for the astrocyte, microglia, and oligodendrocyte lineages and quantify how AD accelerates or blocks state transitions along each trajectory.</w:t>
      </w:r>
    </w:p>
    <w:p w14:paraId="539A1626" w14:textId="77777777" w:rsidR="009C768D" w:rsidRDefault="009C768D">
      <w:pPr>
        <w:spacing w:after="60"/>
      </w:pPr>
    </w:p>
    <w:p w14:paraId="59508F1D" w14:textId="77777777" w:rsidR="009C768D" w:rsidRDefault="00000000">
      <w:pPr>
        <w:pStyle w:val="Heading1"/>
        <w:pBdr>
          <w:bottom w:val="single" w:sz="8" w:space="4" w:color="2E5FA3"/>
        </w:pBdr>
        <w:spacing w:before="360" w:after="160"/>
      </w:pPr>
      <w:r>
        <w:t>2. Methods</w:t>
      </w:r>
    </w:p>
    <w:p w14:paraId="028F272D" w14:textId="77777777" w:rsidR="009C768D" w:rsidRDefault="00000000">
      <w:pPr>
        <w:pStyle w:val="Heading2"/>
        <w:spacing w:before="280" w:after="120"/>
      </w:pPr>
      <w:r>
        <w:t>2.1 Data Acquisition and Study Design</w:t>
      </w:r>
    </w:p>
    <w:p w14:paraId="48DEA271" w14:textId="77777777" w:rsidR="009C768D" w:rsidRDefault="00000000">
      <w:pPr>
        <w:spacing w:before="80" w:after="120" w:line="360" w:lineRule="auto"/>
        <w:jc w:val="both"/>
      </w:pPr>
      <w:r>
        <w:t xml:space="preserve">Raw single-nucleus RNA-sequencing data were obtained from the NCBI Sequence Read Archive under </w:t>
      </w:r>
      <w:proofErr w:type="spellStart"/>
      <w:r>
        <w:t>BioProject</w:t>
      </w:r>
      <w:proofErr w:type="spellEnd"/>
      <w:r>
        <w:t xml:space="preserve"> PRJNA577618 (Grubman et al., 2019, Nature Neuroscience). The dataset comprises post-mortem entorhinal cortex samples from 32 individuals: 16 with confirmed Alzheimer's disease (AD) and 16 age-matched cognitively normal controls (WT). All samples were previously diagnosed by a neuropathologist using established criteria including Braak staging and CERAD scores. Sequencing was performed using the 10x Chromium platform with snRNA-</w:t>
      </w:r>
      <w:proofErr w:type="spellStart"/>
      <w:r>
        <w:t>seq</w:t>
      </w:r>
      <w:proofErr w:type="spellEnd"/>
      <w:r>
        <w:t xml:space="preserve"> (droplet-based). Individual samples are designated AD_1 through AD_16 and WT_1 through WT_16, providing 16 biological replicates per condition.</w:t>
      </w:r>
    </w:p>
    <w:p w14:paraId="200AB2A1" w14:textId="77777777" w:rsidR="009C768D" w:rsidRDefault="00000000">
      <w:pPr>
        <w:pStyle w:val="Heading2"/>
        <w:spacing w:before="280" w:after="120"/>
      </w:pPr>
      <w:r>
        <w:t>2.2 Quality Control and Preprocessing</w:t>
      </w:r>
    </w:p>
    <w:p w14:paraId="55739258" w14:textId="6553250A" w:rsidR="009C768D" w:rsidRDefault="00000000">
      <w:pPr>
        <w:spacing w:before="80" w:after="120" w:line="360" w:lineRule="auto"/>
        <w:jc w:val="both"/>
      </w:pPr>
      <w:r>
        <w:t>Raw count matrices were processed in R using the Seurat (v4) framework. Quality control metrics computed for each nucleus included the number of detected genes (</w:t>
      </w:r>
      <w:proofErr w:type="spellStart"/>
      <w:r>
        <w:t>nFeature_RNA</w:t>
      </w:r>
      <w:proofErr w:type="spellEnd"/>
      <w:r>
        <w:t>), total UMI count (</w:t>
      </w:r>
      <w:proofErr w:type="spellStart"/>
      <w:r>
        <w:t>nCount_RNA</w:t>
      </w:r>
      <w:proofErr w:type="spellEnd"/>
      <w:r>
        <w:t>), and percentage of reads mapping to mitochondrial genes (percent.mt). Mitochondrial gene contamination indicative of damaged nuclei was assessed using gene symbols prefixed with 'MT-'. Nuclei passing all three QC filters were retained for downstream analysis. After QC filtering, mitochondrial genes were removed from the feature set to prevent confounding of clustering by mitochondrial expression variation.</w:t>
      </w:r>
    </w:p>
    <w:p w14:paraId="4DC21B3A" w14:textId="77777777" w:rsidR="009C768D" w:rsidRDefault="00000000">
      <w:pPr>
        <w:spacing w:before="80" w:after="120" w:line="360" w:lineRule="auto"/>
        <w:jc w:val="both"/>
      </w:pPr>
      <w:r>
        <w:t xml:space="preserve">QC thresholds applied: </w:t>
      </w:r>
      <w:proofErr w:type="spellStart"/>
      <w:r>
        <w:t>nFeature_RNA</w:t>
      </w:r>
      <w:proofErr w:type="spellEnd"/>
      <w:r>
        <w:t xml:space="preserve"> between 200 and 5,000; </w:t>
      </w:r>
      <w:proofErr w:type="spellStart"/>
      <w:r>
        <w:t>nCount_RNA</w:t>
      </w:r>
      <w:proofErr w:type="spellEnd"/>
      <w:r>
        <w:t xml:space="preserve"> between 500 and 12,500; percent.mt below 10%. The QC violin plots confirmed comparable distributions of all three </w:t>
      </w:r>
      <w:r>
        <w:lastRenderedPageBreak/>
        <w:t xml:space="preserve">metrics across AD and Control samples, and the </w:t>
      </w:r>
      <w:proofErr w:type="spellStart"/>
      <w:r>
        <w:t>nCount_RNA</w:t>
      </w:r>
      <w:proofErr w:type="spellEnd"/>
      <w:r>
        <w:t xml:space="preserve"> versus </w:t>
      </w:r>
      <w:proofErr w:type="spellStart"/>
      <w:r>
        <w:t>nFeature_RNA</w:t>
      </w:r>
      <w:proofErr w:type="spellEnd"/>
      <w:r>
        <w:t xml:space="preserve"> scatter plot confirmed the expected log-linear relationship without evidence of doublet contamination. The density distribution plots confirmed near-identical QC metric profiles between conditions, ruling out technical batch-driven differences.</w:t>
      </w:r>
    </w:p>
    <w:p w14:paraId="2A9B5112" w14:textId="77777777" w:rsidR="009C768D" w:rsidRDefault="00000000">
      <w:pPr>
        <w:pStyle w:val="Heading2"/>
        <w:spacing w:before="280" w:after="120"/>
      </w:pPr>
      <w:r>
        <w:t>2.3 Normalisation, Integration, and Dimensionality Reduction</w:t>
      </w:r>
    </w:p>
    <w:p w14:paraId="2381E094" w14:textId="77777777" w:rsidR="009C768D" w:rsidRDefault="00000000">
      <w:pPr>
        <w:spacing w:before="80" w:after="120" w:line="360" w:lineRule="auto"/>
        <w:jc w:val="both"/>
      </w:pPr>
      <w:r>
        <w:t xml:space="preserve">Normalisation was performed using Seurat's </w:t>
      </w:r>
      <w:proofErr w:type="spellStart"/>
      <w:r>
        <w:t>LogNormalize</w:t>
      </w:r>
      <w:proofErr w:type="spellEnd"/>
      <w:r>
        <w:t xml:space="preserve"> method (scale factor 10,000). Highly variable features were identified using the </w:t>
      </w:r>
      <w:proofErr w:type="spellStart"/>
      <w:r>
        <w:t>FindVariableFeatures</w:t>
      </w:r>
      <w:proofErr w:type="spellEnd"/>
      <w:r>
        <w:t xml:space="preserve"> function (</w:t>
      </w:r>
      <w:proofErr w:type="spellStart"/>
      <w:r>
        <w:t>nfeatures</w:t>
      </w:r>
      <w:proofErr w:type="spellEnd"/>
      <w:r>
        <w:t xml:space="preserve"> = 2,000). To correct for inter-sample technical variation while preserving biological signal, data integration was performed using Seurat's reciprocal PCA (RPCA) integration method across all 32 samples. Integration quality was assessed by UMAP coloured by individual sample identity, confirming that samples from both conditions mixed appropriately within each cluster without evidence of systematic batch clustering.</w:t>
      </w:r>
    </w:p>
    <w:p w14:paraId="48915AB7" w14:textId="77777777" w:rsidR="009C768D" w:rsidRDefault="00000000">
      <w:pPr>
        <w:spacing w:before="80" w:after="120" w:line="360" w:lineRule="auto"/>
        <w:jc w:val="both"/>
      </w:pPr>
      <w:r>
        <w:t>Principal component analysis was performed on the integrated data, with the number of significant PCs determined by elbow plot inspection. UMAP dimensionality reduction was applied using the top significant PCs. Leiden graph-based clustering was performed at resolution 0.5, yielding 20 initial clusters.</w:t>
      </w:r>
    </w:p>
    <w:p w14:paraId="0B520D3A" w14:textId="77777777" w:rsidR="009C768D" w:rsidRDefault="00000000">
      <w:pPr>
        <w:pStyle w:val="Heading2"/>
        <w:spacing w:before="280" w:after="120"/>
      </w:pPr>
      <w:r>
        <w:t>2.4 Cell-Type Annotation</w:t>
      </w:r>
    </w:p>
    <w:p w14:paraId="65D22F61" w14:textId="77777777" w:rsidR="009C768D" w:rsidRDefault="00000000">
      <w:pPr>
        <w:spacing w:before="80" w:after="120" w:line="360" w:lineRule="auto"/>
        <w:jc w:val="both"/>
      </w:pPr>
      <w:r>
        <w:t>Initial broad cell-type annotation was performed by examining cluster marker genes against established brain cell-type marker panels. Eight broad cell types were identified: Excitatory Neurons, Inhibitory Neurons, Astrocytes, Microglia, OPCs (oligodendrocyte progenitor cells), Oligodendrocytes, Vascular/Endothelial, and Cajal-</w:t>
      </w:r>
      <w:proofErr w:type="spellStart"/>
      <w:r>
        <w:t>Retzius</w:t>
      </w:r>
      <w:proofErr w:type="spellEnd"/>
      <w:r>
        <w:t xml:space="preserve"> cells.</w:t>
      </w:r>
    </w:p>
    <w:p w14:paraId="4B7076C0" w14:textId="77777777" w:rsidR="009C768D" w:rsidRDefault="00000000">
      <w:pPr>
        <w:spacing w:before="80" w:after="120" w:line="360" w:lineRule="auto"/>
        <w:jc w:val="both"/>
      </w:pPr>
      <w:r>
        <w:t>Fine-resolution sub-clustering was subsequently performed within each broad category to yield 17 final subtypes: excitatory neuron layer subtypes (Ex_L2_3, Ex_L5_6, Ex_L6, Ex_L6b), inhibitory neuron subtypes (</w:t>
      </w:r>
      <w:proofErr w:type="spellStart"/>
      <w:r>
        <w:t>In_VIP</w:t>
      </w:r>
      <w:proofErr w:type="spellEnd"/>
      <w:r>
        <w:t xml:space="preserve">, </w:t>
      </w:r>
      <w:proofErr w:type="spellStart"/>
      <w:r>
        <w:t>In_SST</w:t>
      </w:r>
      <w:proofErr w:type="spellEnd"/>
      <w:r>
        <w:t xml:space="preserve">, </w:t>
      </w:r>
      <w:proofErr w:type="spellStart"/>
      <w:r>
        <w:t>In_PVALB</w:t>
      </w:r>
      <w:proofErr w:type="spellEnd"/>
      <w:r>
        <w:t xml:space="preserve">, In_LAMP5, In_LAMP5_PAX6), astrocyte subtypes (Astrocytes, </w:t>
      </w:r>
      <w:proofErr w:type="spellStart"/>
      <w:r>
        <w:t>Astrocytes_Reactive</w:t>
      </w:r>
      <w:proofErr w:type="spellEnd"/>
      <w:r>
        <w:t xml:space="preserve">), oligodendrocyte lineage (OPCs, COPs, Oligodendrocytes), and additional types (Microglia, Endothelial, </w:t>
      </w:r>
      <w:proofErr w:type="spellStart"/>
      <w:r>
        <w:t>Cajal_Retzius</w:t>
      </w:r>
      <w:proofErr w:type="spellEnd"/>
      <w:r>
        <w:t>). COPs (committed oligodendrocyte precursors) were distinguished from OPCs by co-expression of PDGFRA loss, SOX10 retention, and early MBP/PLP1 expression. Reactive astrocytes were distinguished from homeostatic astrocytes by upregulation of GFAP, VIM, LCN2, and complement pathway genes.</w:t>
      </w:r>
    </w:p>
    <w:p w14:paraId="34888DC6" w14:textId="77777777" w:rsidR="009C768D" w:rsidRDefault="00000000">
      <w:pPr>
        <w:pStyle w:val="Heading2"/>
        <w:spacing w:before="280" w:after="120"/>
      </w:pPr>
      <w:r>
        <w:t>2.5 Differential Gene Expression Analysis</w:t>
      </w:r>
    </w:p>
    <w:p w14:paraId="75B3BF97" w14:textId="77777777" w:rsidR="009C768D" w:rsidRDefault="00000000">
      <w:pPr>
        <w:spacing w:before="80" w:after="120" w:line="360" w:lineRule="auto"/>
        <w:jc w:val="both"/>
      </w:pPr>
      <w:proofErr w:type="spellStart"/>
      <w:r>
        <w:lastRenderedPageBreak/>
        <w:t>Pseudobulk</w:t>
      </w:r>
      <w:proofErr w:type="spellEnd"/>
      <w:r>
        <w:t xml:space="preserve"> differential gene expression analysis was performed using DESeq2, comparing AD versus Control within each fine cell-type independently. For each cell type, counts were aggregated per sample (32 </w:t>
      </w:r>
      <w:proofErr w:type="spellStart"/>
      <w:r>
        <w:t>pseudobulk</w:t>
      </w:r>
      <w:proofErr w:type="spellEnd"/>
      <w:r>
        <w:t xml:space="preserve"> samples: 16 AD, 16 Control), normalised using DESeq2's median-of-ratios method, and tested using a Wald test with Benjamini-Hochberg multiple testing correction. Genes were considered differentially expressed at adjusted p-value &lt; 0.05 and |log2 fold change| &gt; 0.25. Results were visualised as volcano plots displaying -log10(p-value) versus log2 fold change, with the top variable genes labelled.</w:t>
      </w:r>
    </w:p>
    <w:p w14:paraId="0BC9FBD2" w14:textId="77777777" w:rsidR="009C768D" w:rsidRDefault="00000000">
      <w:pPr>
        <w:pStyle w:val="Heading2"/>
        <w:spacing w:before="280" w:after="120"/>
      </w:pPr>
      <w:r>
        <w:t>2.6 Gene Set Enrichment Analysis</w:t>
      </w:r>
    </w:p>
    <w:p w14:paraId="5ECE536C" w14:textId="77777777" w:rsidR="009C768D" w:rsidRDefault="00000000">
      <w:pPr>
        <w:spacing w:before="80" w:after="120" w:line="360" w:lineRule="auto"/>
        <w:jc w:val="both"/>
      </w:pPr>
      <w:r>
        <w:t xml:space="preserve">Gene Set Enrichment Analysis (GSEA) was performed using the </w:t>
      </w:r>
      <w:proofErr w:type="spellStart"/>
      <w:r>
        <w:t>clusterProfiler</w:t>
      </w:r>
      <w:proofErr w:type="spellEnd"/>
      <w:r>
        <w:t xml:space="preserve"> R package with Gene Ontology Biological Process (GO BP) gene sets from the </w:t>
      </w:r>
      <w:proofErr w:type="spellStart"/>
      <w:r>
        <w:t>msigdbr</w:t>
      </w:r>
      <w:proofErr w:type="spellEnd"/>
      <w:r>
        <w:t xml:space="preserve"> database. For each cell type, genes were pre-ranked by DESeq2 test statistic (signed -log10(p-value) multiplied by sign of log2FC). GSEA was run with 1,000 permutations. Pathways with adjusted q-value &lt; 0.05 were considered significant. Results are reported as normalised enrichment scores (NES) and -log10(q-value). GSEA was performed independently at both broad cell-type level (8 types) and fine cell-subtype level (16 types) to enable comparison of resolution-dependent pathway signals.</w:t>
      </w:r>
    </w:p>
    <w:p w14:paraId="2C632F8D" w14:textId="77777777" w:rsidR="009C768D" w:rsidRDefault="00000000">
      <w:pPr>
        <w:pStyle w:val="Heading2"/>
        <w:spacing w:before="280" w:after="120"/>
      </w:pPr>
      <w:r>
        <w:t>2.7 Cell-Cell Communication Inference</w:t>
      </w:r>
    </w:p>
    <w:p w14:paraId="7423FB7A" w14:textId="77777777" w:rsidR="009C768D" w:rsidRDefault="00000000">
      <w:pPr>
        <w:spacing w:before="80" w:after="120" w:line="360" w:lineRule="auto"/>
        <w:jc w:val="both"/>
      </w:pPr>
      <w:r>
        <w:t xml:space="preserve">Intercellular ligand-receptor communication was inferred using </w:t>
      </w:r>
      <w:proofErr w:type="spellStart"/>
      <w:r>
        <w:t>CellChat</w:t>
      </w:r>
      <w:proofErr w:type="spellEnd"/>
      <w:r>
        <w:t xml:space="preserve"> (v1.6) applied separately to AD and Control datasets. </w:t>
      </w:r>
      <w:proofErr w:type="spellStart"/>
      <w:r>
        <w:t>CellChat</w:t>
      </w:r>
      <w:proofErr w:type="spellEnd"/>
      <w:r>
        <w:t xml:space="preserve"> computes communication probabilities for each ligand-receptor pair across all sender-receiver cell-type combinations using a law of mass action model that incorporates both gene expression levels and known curated LR interactions from the </w:t>
      </w:r>
      <w:proofErr w:type="spellStart"/>
      <w:r>
        <w:t>CellChat</w:t>
      </w:r>
      <w:proofErr w:type="spellEnd"/>
      <w:r>
        <w:t xml:space="preserve"> database. Significant interactions were identified at p &lt; 0.05 (permutation test). Condition-specific interactions were identified by comparing the AD and Control </w:t>
      </w:r>
      <w:proofErr w:type="spellStart"/>
      <w:r>
        <w:t>CellChat</w:t>
      </w:r>
      <w:proofErr w:type="spellEnd"/>
      <w:r>
        <w:t xml:space="preserve"> objects using the </w:t>
      </w:r>
      <w:proofErr w:type="spellStart"/>
      <w:r>
        <w:t>netAnalysis</w:t>
      </w:r>
      <w:proofErr w:type="spellEnd"/>
      <w:r>
        <w:t xml:space="preserve"> functions. Information flow analysis quantified the total signalling strength of each pathway (summed communication probabilities) across conditions. Signalling role scatter plots compared outgoing versus incoming interaction strength for each cell type between conditions. LR bubble plots showing communication probability for specific sender-receiver pairs were generated for key biological axes.</w:t>
      </w:r>
    </w:p>
    <w:p w14:paraId="23736D8F" w14:textId="77777777" w:rsidR="009C768D" w:rsidRDefault="00000000">
      <w:pPr>
        <w:pStyle w:val="Heading2"/>
        <w:spacing w:before="280" w:after="120"/>
      </w:pPr>
      <w:r>
        <w:t xml:space="preserve">2.8 </w:t>
      </w:r>
      <w:proofErr w:type="spellStart"/>
      <w:r>
        <w:t>Pseudotime</w:t>
      </w:r>
      <w:proofErr w:type="spellEnd"/>
      <w:r>
        <w:t xml:space="preserve"> Trajectory Analysis</w:t>
      </w:r>
    </w:p>
    <w:p w14:paraId="1E3ED2B4" w14:textId="77777777" w:rsidR="009C768D" w:rsidRDefault="00000000">
      <w:pPr>
        <w:spacing w:before="80" w:after="120" w:line="360" w:lineRule="auto"/>
        <w:jc w:val="both"/>
      </w:pPr>
      <w:r>
        <w:t xml:space="preserve">Trajectory analysis was performed using Monocle3 (v1.3) independently for three cellular lineages: (1) the astrocyte reactivity trajectory (Astrocytes + </w:t>
      </w:r>
      <w:proofErr w:type="spellStart"/>
      <w:r>
        <w:t>Astrocytes_Reactive</w:t>
      </w:r>
      <w:proofErr w:type="spellEnd"/>
      <w:r>
        <w:t>), (2) the microglia activation trajectory (</w:t>
      </w:r>
      <w:proofErr w:type="spellStart"/>
      <w:r>
        <w:t>Microglia_Homeostatic</w:t>
      </w:r>
      <w:proofErr w:type="spellEnd"/>
      <w:r>
        <w:t xml:space="preserve"> + </w:t>
      </w:r>
      <w:proofErr w:type="spellStart"/>
      <w:r>
        <w:t>Microglia_Activated</w:t>
      </w:r>
      <w:proofErr w:type="spellEnd"/>
      <w:r>
        <w:t xml:space="preserve">), and (3) the oligodendrocyte lineage trajectory (OPCs + COPs + Oligodendrocytes). For each lineage, cell subsets were extracted from the full integrated Seurat object and converted to Monocle3 </w:t>
      </w:r>
      <w:proofErr w:type="spellStart"/>
      <w:r>
        <w:t>CellDataSet</w:t>
      </w:r>
      <w:proofErr w:type="spellEnd"/>
      <w:r>
        <w:t xml:space="preserve"> objects. Dimensionality </w:t>
      </w:r>
      <w:r>
        <w:lastRenderedPageBreak/>
        <w:t xml:space="preserve">reduction was re-performed within each lineage using UMAP. Cell trajectory graphs were learned using the </w:t>
      </w:r>
      <w:proofErr w:type="spellStart"/>
      <w:r>
        <w:t>learn_graph</w:t>
      </w:r>
      <w:proofErr w:type="spellEnd"/>
      <w:r>
        <w:t xml:space="preserve"> function. Root cells were assigned to the most homeostatic cluster based on known marker expression (lowest GFAP/HES5/SPP1 expression for astrocytes; highest P2RY12/TMEM119 for microglia; highest PDGFRA/CSPG4 for OPCs). </w:t>
      </w:r>
      <w:proofErr w:type="spellStart"/>
      <w:r>
        <w:t>Pseudotime</w:t>
      </w:r>
      <w:proofErr w:type="spellEnd"/>
      <w:r>
        <w:t xml:space="preserve"> was ordered using the </w:t>
      </w:r>
      <w:proofErr w:type="spellStart"/>
      <w:r>
        <w:t>order_cells</w:t>
      </w:r>
      <w:proofErr w:type="spellEnd"/>
      <w:r>
        <w:t xml:space="preserve"> function.</w:t>
      </w:r>
    </w:p>
    <w:p w14:paraId="6B260F5E" w14:textId="77777777" w:rsidR="009C768D" w:rsidRDefault="00000000">
      <w:pPr>
        <w:spacing w:before="80" w:after="120" w:line="360" w:lineRule="auto"/>
        <w:jc w:val="both"/>
      </w:pPr>
      <w:proofErr w:type="spellStart"/>
      <w:r>
        <w:t>Pseudotime</w:t>
      </w:r>
      <w:proofErr w:type="spellEnd"/>
      <w:r>
        <w:t xml:space="preserve"> distributions were compared between AD and Control using density plots and violin plots. Cell-type composition along </w:t>
      </w:r>
      <w:proofErr w:type="spellStart"/>
      <w:r>
        <w:t>pseudotime</w:t>
      </w:r>
      <w:proofErr w:type="spellEnd"/>
      <w:r>
        <w:t xml:space="preserve"> was analysed by binning cells into decile bins (Q1-Q10) and computing cell-type proportions per bin per condition. Top trajectory-varying genes were identified using Monocle3's </w:t>
      </w:r>
      <w:proofErr w:type="spellStart"/>
      <w:r>
        <w:t>graph_test</w:t>
      </w:r>
      <w:proofErr w:type="spellEnd"/>
      <w:r>
        <w:t xml:space="preserve"> function (Moran's I test), which identifies genes whose expression varies significantly as a function of </w:t>
      </w:r>
      <w:proofErr w:type="spellStart"/>
      <w:r>
        <w:t>pseudotime</w:t>
      </w:r>
      <w:proofErr w:type="spellEnd"/>
      <w:r>
        <w:t xml:space="preserve">. For the microglia trajectory, DAM and homeostatic signature scores were computed using </w:t>
      </w:r>
      <w:proofErr w:type="spellStart"/>
      <w:r>
        <w:t>AddModuleScore</w:t>
      </w:r>
      <w:proofErr w:type="spellEnd"/>
      <w:r>
        <w:t xml:space="preserve"> in Seurat applied to established gene sets and plotted along </w:t>
      </w:r>
      <w:proofErr w:type="spellStart"/>
      <w:r>
        <w:t>pseudotime</w:t>
      </w:r>
      <w:proofErr w:type="spellEnd"/>
      <w:r>
        <w:t>.</w:t>
      </w:r>
    </w:p>
    <w:p w14:paraId="2E286A08" w14:textId="77777777" w:rsidR="009C768D" w:rsidRDefault="00000000">
      <w:pPr>
        <w:pStyle w:val="Heading2"/>
        <w:spacing w:before="280" w:after="120"/>
      </w:pPr>
      <w:r>
        <w:t>2.9 Software and Reproducibility</w:t>
      </w:r>
    </w:p>
    <w:p w14:paraId="5F788980" w14:textId="77777777" w:rsidR="009C768D" w:rsidRDefault="00000000">
      <w:pPr>
        <w:spacing w:before="80" w:after="120" w:line="360" w:lineRule="auto"/>
        <w:jc w:val="both"/>
      </w:pPr>
      <w:r>
        <w:t xml:space="preserve">All analyses were performed in R (v4.3) and Python (v3.10). Key R packages used: Seurat (v4.3), DESeq2 (v1.42), </w:t>
      </w:r>
      <w:proofErr w:type="spellStart"/>
      <w:r>
        <w:t>clusterProfiler</w:t>
      </w:r>
      <w:proofErr w:type="spellEnd"/>
      <w:r>
        <w:t xml:space="preserve"> (v4.8), </w:t>
      </w:r>
      <w:proofErr w:type="spellStart"/>
      <w:r>
        <w:t>CellChat</w:t>
      </w:r>
      <w:proofErr w:type="spellEnd"/>
      <w:r>
        <w:t xml:space="preserve"> (v1.6), Monocle3 (v1.3), ggplot2 (v3.4), </w:t>
      </w:r>
      <w:proofErr w:type="spellStart"/>
      <w:r>
        <w:t>ComplexHeatmap</w:t>
      </w:r>
      <w:proofErr w:type="spellEnd"/>
      <w:r>
        <w:t xml:space="preserve"> (v2.16). Figures were generated with ggplot2 and custom </w:t>
      </w:r>
      <w:proofErr w:type="spellStart"/>
      <w:r>
        <w:t>ggplot</w:t>
      </w:r>
      <w:proofErr w:type="spellEnd"/>
      <w:r>
        <w:t xml:space="preserve"> themes. All code is available upon request. Raw data are available at NCBI SRA under </w:t>
      </w:r>
      <w:proofErr w:type="spellStart"/>
      <w:r>
        <w:t>BioProject</w:t>
      </w:r>
      <w:proofErr w:type="spellEnd"/>
      <w:r>
        <w:t xml:space="preserve"> PRJNA577618.</w:t>
      </w:r>
    </w:p>
    <w:p w14:paraId="2E3FD01D" w14:textId="77777777" w:rsidR="009C768D" w:rsidRDefault="009C768D">
      <w:pPr>
        <w:spacing w:after="60"/>
      </w:pPr>
    </w:p>
    <w:p w14:paraId="611FAF7E" w14:textId="77777777" w:rsidR="009C768D" w:rsidRDefault="00000000">
      <w:pPr>
        <w:pStyle w:val="Heading1"/>
        <w:pBdr>
          <w:bottom w:val="single" w:sz="8" w:space="4" w:color="2E5FA3"/>
        </w:pBdr>
        <w:spacing w:before="360" w:after="160"/>
      </w:pPr>
      <w:r>
        <w:t>3. Results</w:t>
      </w:r>
    </w:p>
    <w:p w14:paraId="179C4F24" w14:textId="77777777" w:rsidR="009C768D" w:rsidRDefault="00000000">
      <w:pPr>
        <w:pStyle w:val="Heading2"/>
        <w:spacing w:before="280" w:after="120"/>
      </w:pPr>
      <w:r>
        <w:t>3.1 Quality Control and Dataset Composition</w:t>
      </w:r>
    </w:p>
    <w:p w14:paraId="6294CDCD" w14:textId="77777777" w:rsidR="009C768D" w:rsidRDefault="00000000">
      <w:pPr>
        <w:spacing w:before="80" w:after="120" w:line="360" w:lineRule="auto"/>
        <w:jc w:val="both"/>
      </w:pPr>
      <w:r>
        <w:t>After applying QC filters (</w:t>
      </w:r>
      <w:proofErr w:type="spellStart"/>
      <w:r>
        <w:t>nFeature_RNA</w:t>
      </w:r>
      <w:proofErr w:type="spellEnd"/>
      <w:r>
        <w:t xml:space="preserve"> 200–5,000; </w:t>
      </w:r>
      <w:proofErr w:type="spellStart"/>
      <w:r>
        <w:t>nCount_RNA</w:t>
      </w:r>
      <w:proofErr w:type="spellEnd"/>
      <w:r>
        <w:t xml:space="preserve"> 500–12,500; percent.mt &lt; 10%), a high-quality dataset was retained for analysis. The violin plots of QC metrics across AD and Control conditions showed nearly identical distributions for all three parameters. Both conditions displayed median </w:t>
      </w:r>
      <w:proofErr w:type="spellStart"/>
      <w:r>
        <w:t>nFeature_RNA</w:t>
      </w:r>
      <w:proofErr w:type="spellEnd"/>
      <w:r>
        <w:t xml:space="preserve"> values in the 1,000–2,500 gene range and </w:t>
      </w:r>
      <w:proofErr w:type="spellStart"/>
      <w:r>
        <w:t>nCount_RNA</w:t>
      </w:r>
      <w:proofErr w:type="spellEnd"/>
      <w:r>
        <w:t xml:space="preserve"> values of 1,000–5,000 per nucleus, consistent with nuclear rather than cytoplasmic capture. Mitochondrial content was minimal across both conditions (median &lt; 2%), confirming high tissue and nuclear quality.</w:t>
      </w:r>
    </w:p>
    <w:p w14:paraId="01A81462" w14:textId="77777777" w:rsidR="009C768D" w:rsidRDefault="00000000">
      <w:pPr>
        <w:spacing w:before="80" w:after="120" w:line="360" w:lineRule="auto"/>
        <w:jc w:val="both"/>
      </w:pPr>
      <w:r>
        <w:t xml:space="preserve">The </w:t>
      </w:r>
      <w:proofErr w:type="spellStart"/>
      <w:r>
        <w:t>nCount_RNA</w:t>
      </w:r>
      <w:proofErr w:type="spellEnd"/>
      <w:r>
        <w:t xml:space="preserve"> versus </w:t>
      </w:r>
      <w:proofErr w:type="spellStart"/>
      <w:r>
        <w:t>nFeature_RNA</w:t>
      </w:r>
      <w:proofErr w:type="spellEnd"/>
      <w:r>
        <w:t xml:space="preserve"> scatter plot showed the expected log-linear relationship for both conditions, with no evidence of doublets (cells appearing above the main cloud) or dead cells (cells with very low feature counts). The density plots confirmed that QC metric distributions were not shifted between AD and Control, confirming that any downstream transcriptional differences reflect biological rather than technical variation. Sample-level UMAP coloured by individual sample </w:t>
      </w:r>
      <w:r>
        <w:lastRenderedPageBreak/>
        <w:t>identity confirmed successful integration: cells from all 32 individual samples (AD_1–AD_16 and WT_1–WT_16) intermingled within each cluster, demonstrating that inter-individual technical batch variation was effectively removed.</w:t>
      </w:r>
    </w:p>
    <w:p w14:paraId="28229E16" w14:textId="77777777" w:rsidR="009C768D" w:rsidRDefault="00000000">
      <w:pPr>
        <w:pStyle w:val="Heading2"/>
        <w:spacing w:before="280" w:after="120"/>
      </w:pPr>
      <w:r>
        <w:t>3.2 Cell-Type Identification and Fine Annotation</w:t>
      </w:r>
    </w:p>
    <w:p w14:paraId="53178B75" w14:textId="77777777" w:rsidR="009C768D" w:rsidRDefault="00000000">
      <w:pPr>
        <w:spacing w:before="80" w:after="120" w:line="360" w:lineRule="auto"/>
        <w:jc w:val="both"/>
      </w:pPr>
      <w:r>
        <w:t>Leiden clustering at resolution 0.5 yielded 20 initial clusters that were annotated into 8 broad cell types. UMAP visualisation showed well-separated major cell populations: a large Oligodendrocyte cluster (centre-bottom), an Astrocyte cluster (upper-right), a Microglia cluster (far-right), an OPC cluster (upper-centre), a mixed Excitatory/Inhibitory Neuron region (left), and smaller Vascular, Cajal-</w:t>
      </w:r>
      <w:proofErr w:type="spellStart"/>
      <w:r>
        <w:t>Retzius</w:t>
      </w:r>
      <w:proofErr w:type="spellEnd"/>
      <w:r>
        <w:t>, and residual clusters.</w:t>
      </w:r>
    </w:p>
    <w:p w14:paraId="494DE833" w14:textId="77777777" w:rsidR="009C768D" w:rsidRDefault="00000000">
      <w:pPr>
        <w:spacing w:before="80" w:after="120" w:line="360" w:lineRule="auto"/>
        <w:jc w:val="both"/>
      </w:pPr>
      <w:r>
        <w:t xml:space="preserve">Fine sub-clustering yielded 17 final subtypes. Among excitatory neurons, four cortical layer subtypes were resolved: Ex_L2_3 (superficial layer; largest subpopulation), Ex_L5_6 (deep layer), Ex_L6, and Ex_L6b (subplate-like). Among inhibitory neurons, five interneuron subtypes were resolved based on canonical marker genes: </w:t>
      </w:r>
      <w:proofErr w:type="spellStart"/>
      <w:r>
        <w:t>In_SST</w:t>
      </w:r>
      <w:proofErr w:type="spellEnd"/>
      <w:r>
        <w:t xml:space="preserve"> (somatostatin), </w:t>
      </w:r>
      <w:proofErr w:type="spellStart"/>
      <w:r>
        <w:t>In_PVALB</w:t>
      </w:r>
      <w:proofErr w:type="spellEnd"/>
      <w:r>
        <w:t xml:space="preserve"> (parvalbumin), </w:t>
      </w:r>
      <w:proofErr w:type="spellStart"/>
      <w:r>
        <w:t>In_VIP</w:t>
      </w:r>
      <w:proofErr w:type="spellEnd"/>
      <w:r>
        <w:t xml:space="preserve"> (vasoactive intestinal peptide), In_LAMP5 (LAMP5-expressing), and In_LAMP5_PAX6 (a rare PAX6-co-expressing subtype). Within astrocytes, a distinct </w:t>
      </w:r>
      <w:proofErr w:type="spellStart"/>
      <w:r>
        <w:t>Astrocytes_Reactive</w:t>
      </w:r>
      <w:proofErr w:type="spellEnd"/>
      <w:r>
        <w:t xml:space="preserve"> subpopulation was identified characterised by elevated GFAP, VIM, and complement gene expression. Within the oligodendrocyte lineage, COPs were distinguished from OPCs and mature oligodendrocytes. The split UMAP by condition showed that while the overall topology was preserved between AD and Control, the </w:t>
      </w:r>
      <w:proofErr w:type="spellStart"/>
      <w:r>
        <w:t>Astrocytes_Reactive</w:t>
      </w:r>
      <w:proofErr w:type="spellEnd"/>
      <w:r>
        <w:t xml:space="preserve"> cluster was proportionally larger in AD, and the oligodendrocyte region showed visible shifts in internal structure.</w:t>
      </w:r>
    </w:p>
    <w:p w14:paraId="4CD1C2D8" w14:textId="77777777" w:rsidR="009C768D" w:rsidRDefault="00000000">
      <w:pPr>
        <w:pStyle w:val="Heading2"/>
        <w:spacing w:before="280" w:after="120"/>
      </w:pPr>
      <w:r>
        <w:t>3.3 Differential Gene Expression Across Fine Cell Subtypes</w:t>
      </w:r>
    </w:p>
    <w:p w14:paraId="262CBBE7" w14:textId="77777777" w:rsidR="009C768D" w:rsidRDefault="00000000">
      <w:pPr>
        <w:pStyle w:val="Heading3"/>
        <w:spacing w:before="200" w:after="80"/>
      </w:pPr>
      <w:r>
        <w:t>3.3.1 Excitatory Neurons Show Layer-Dependent Vulnerability</w:t>
      </w:r>
    </w:p>
    <w:p w14:paraId="1D3141D2" w14:textId="2020C7B8" w:rsidR="009C768D" w:rsidRDefault="00000000">
      <w:pPr>
        <w:spacing w:before="80" w:after="120" w:line="360" w:lineRule="auto"/>
        <w:jc w:val="both"/>
      </w:pPr>
      <w:r>
        <w:t>Ex_L2_3 neurons exhibited the largest downregulation burden of any cell type (2,174 genes down; 1,052 up), consistent with the known selective vulnerability of superficial cortical layers in AD. Key downregulated genes included BCL2 (anti-apoptotic), FYN (synaptic plasticity kinase), LINGO3 (oligodendrocyte-neuron communication), CRY1 (circadian clock), and NPTX2 (synaptic protein). Upregulated genes included IRF1 (interferon regulatory factor) and INHBA (activin). Ex_L5_6 showed a more balanced DEG profile (473 up, 497 down) with notable RELN downregulation. Ex_L6b, a smaller population, showed GRIN2B (NMDA receptor) and NRXN1 downregulation with SET upregulation the latter an inhibitor of PP2A phosphatase that promotes tau hyperphosphorylation.</w:t>
      </w:r>
    </w:p>
    <w:p w14:paraId="05B6D1E9" w14:textId="77777777" w:rsidR="009C768D" w:rsidRDefault="00000000">
      <w:pPr>
        <w:pStyle w:val="Heading3"/>
        <w:spacing w:before="200" w:after="80"/>
      </w:pPr>
      <w:r>
        <w:t>3.3.2 Inhibitory Neuron Subtypes Show Divergent AD Responses</w:t>
      </w:r>
    </w:p>
    <w:p w14:paraId="519F8919" w14:textId="249AB211" w:rsidR="009C768D" w:rsidRDefault="00000000">
      <w:pPr>
        <w:spacing w:before="80" w:after="120" w:line="360" w:lineRule="auto"/>
        <w:jc w:val="both"/>
      </w:pPr>
      <w:proofErr w:type="spellStart"/>
      <w:r>
        <w:lastRenderedPageBreak/>
        <w:t>In_SST</w:t>
      </w:r>
      <w:proofErr w:type="spellEnd"/>
      <w:r>
        <w:t xml:space="preserve"> interneurons were paradoxically enriched for upregulated genes (537 up, 240 down), including the immediate-early synaptic scaffold genes HOMER1, CAMK2A, and EGR1  consistent with compensatory hyperactivation. NPY, a classical AD-depleted neuropeptide, was among the top downregulated genes. </w:t>
      </w:r>
      <w:proofErr w:type="spellStart"/>
      <w:r>
        <w:t>In_PVALB</w:t>
      </w:r>
      <w:proofErr w:type="spellEnd"/>
      <w:r>
        <w:t xml:space="preserve"> interneurons also showed more upregulation than downregulation. In contrast, In_LAMP5 and In_LAMP5_PAX6 both showed net downregulation including loss of DLX6-AS1 (interneuron identity marker), CNR1 (cannabinoid receptor 1), GRIK1 (</w:t>
      </w:r>
      <w:proofErr w:type="spellStart"/>
      <w:r>
        <w:t>kainate</w:t>
      </w:r>
      <w:proofErr w:type="spellEnd"/>
      <w:r>
        <w:t xml:space="preserve"> receptor), and CRH (neuropeptide). </w:t>
      </w:r>
      <w:proofErr w:type="spellStart"/>
      <w:r>
        <w:t>In_VIP</w:t>
      </w:r>
      <w:proofErr w:type="spellEnd"/>
      <w:r>
        <w:t xml:space="preserve"> neurons were relatively mildly affected.</w:t>
      </w:r>
    </w:p>
    <w:p w14:paraId="705B596C" w14:textId="77777777" w:rsidR="009C768D" w:rsidRDefault="00000000">
      <w:pPr>
        <w:pStyle w:val="Heading3"/>
        <w:spacing w:before="200" w:after="80"/>
      </w:pPr>
      <w:r>
        <w:t>3.3.3 Astrocytes Exhibit Massive Transcriptional Reprogramming</w:t>
      </w:r>
    </w:p>
    <w:p w14:paraId="7B82802A" w14:textId="77777777" w:rsidR="009C768D" w:rsidRDefault="00000000">
      <w:pPr>
        <w:spacing w:before="80" w:after="120" w:line="360" w:lineRule="auto"/>
        <w:jc w:val="both"/>
      </w:pPr>
      <w:r>
        <w:t xml:space="preserve">Regular astrocytes showed 757 upregulated and 1,092 downregulated genes, with HES5, GBP2, CHI3L2, and TNFRSF12A among the top upregulated genes. The </w:t>
      </w:r>
      <w:proofErr w:type="spellStart"/>
      <w:r>
        <w:t>Astrocytes_Reactive</w:t>
      </w:r>
      <w:proofErr w:type="spellEnd"/>
      <w:r>
        <w:t xml:space="preserve"> subpopulation additionally showed upregulation of CCL2, CXCL2 (chemokines), SOX2, NR4A1, and ALDOC, alongside downregulation of NRXN1 and LUZP2. Notably, reactive astrocytes showed net downregulation despite their activated state, indicating that even the most activated cells are losing homeostatic gene programs simultaneously with gaining inflammatory ones.</w:t>
      </w:r>
    </w:p>
    <w:p w14:paraId="587BB5E1" w14:textId="77777777" w:rsidR="009C768D" w:rsidRDefault="00000000">
      <w:pPr>
        <w:pStyle w:val="Heading3"/>
        <w:spacing w:before="200" w:after="80"/>
      </w:pPr>
      <w:r>
        <w:t>3.3.4 The Oligodendrocyte Lineage Shows Inflammation-Disrupted Differentiation</w:t>
      </w:r>
    </w:p>
    <w:p w14:paraId="1CFD64DD" w14:textId="74DAF279" w:rsidR="009C768D" w:rsidRDefault="00000000">
      <w:pPr>
        <w:spacing w:before="80" w:after="120" w:line="360" w:lineRule="auto"/>
        <w:jc w:val="both"/>
      </w:pPr>
      <w:r>
        <w:t>OPCs showed heavy downregulation (651 genes down, 302 up) including loss of CSPG4 (NG2, the canonical OPC identity marker), NRXN3, and GADD45B, with APOE and HES5 among the top upregulated genes. COPs showed more upregulation than downregulation (596 up, 297 down), with SPP1, NFKBIA, and IRAK2 as top upregulated genes identifying inflammatory NF-</w:t>
      </w:r>
      <w:proofErr w:type="spellStart"/>
      <w:r>
        <w:t>κB</w:t>
      </w:r>
      <w:proofErr w:type="spellEnd"/>
      <w:r>
        <w:t xml:space="preserve"> activation at the differentiation checkpoint. Mature oligodendrocytes maintained the upregulation bias (542 up, 372 down) with APOE as the single top upregulated gene alongside SPARCL1, CCK, and immune genes NFKBIA, GADD45B, and VSIR. LINGO3 was consistently downregulated across all three oligodendrocyte lineage members.</w:t>
      </w:r>
    </w:p>
    <w:p w14:paraId="401329E2" w14:textId="77777777" w:rsidR="009C768D" w:rsidRDefault="00000000">
      <w:pPr>
        <w:pStyle w:val="Heading3"/>
        <w:spacing w:before="200" w:after="80"/>
      </w:pPr>
      <w:r>
        <w:t>3.3.5 Microglia, Endothelial, and Cajal-</w:t>
      </w:r>
      <w:proofErr w:type="spellStart"/>
      <w:r>
        <w:t>Retzius</w:t>
      </w:r>
      <w:proofErr w:type="spellEnd"/>
      <w:r>
        <w:t xml:space="preserve"> Cells</w:t>
      </w:r>
    </w:p>
    <w:p w14:paraId="3A3A9466" w14:textId="7D84E6CE" w:rsidR="009C768D" w:rsidRDefault="00000000">
      <w:pPr>
        <w:spacing w:before="80" w:after="120" w:line="360" w:lineRule="auto"/>
        <w:jc w:val="both"/>
      </w:pPr>
      <w:r>
        <w:t>Microglia showed 347 upregulated and 511 downregulated genes, with notable upregulation of HSPA5 (ER stress marker), IL4I1 (</w:t>
      </w:r>
      <w:proofErr w:type="spellStart"/>
      <w:r>
        <w:t>immunometabolic</w:t>
      </w:r>
      <w:proofErr w:type="spellEnd"/>
      <w:r>
        <w:t xml:space="preserve"> enzyme), and SPARCL1, and downregulation of FCGR3A (Fc receptor), CLU (</w:t>
      </w:r>
      <w:proofErr w:type="spellStart"/>
      <w:r>
        <w:t>clusterin</w:t>
      </w:r>
      <w:proofErr w:type="spellEnd"/>
      <w:r>
        <w:t>, an AD GWAS gene), and homeostatic genes PPP2R2B, NTM, and DPP10. Endothelial cells showed very high proportional DEG rates (509 of 583 tested genes significant), with profound downregulation of SLC4A4, SLC12A2 (NKCC1</w:t>
      </w:r>
      <w:r w:rsidR="005D30AA">
        <w:t>:</w:t>
      </w:r>
      <w:r>
        <w:t xml:space="preserve"> a blood-brain barrier ion cotransporter), CRYAB, and FGF14 alongside upregulation of heat shock genes HSPA1A and HSP90AA1. Cajal-</w:t>
      </w:r>
      <w:proofErr w:type="spellStart"/>
      <w:r>
        <w:t>Retzius</w:t>
      </w:r>
      <w:proofErr w:type="spellEnd"/>
      <w:r>
        <w:t xml:space="preserve"> cells, despite small numbers (134 genes tested), showed 109 significant DEGs including SNCA upregulation and DAB1 downregulation the latter a key node in Reelin signalling critical for synaptic plasticity.</w:t>
      </w:r>
    </w:p>
    <w:p w14:paraId="745BE9F7" w14:textId="77777777" w:rsidR="009C768D" w:rsidRDefault="00000000">
      <w:pPr>
        <w:pStyle w:val="Heading2"/>
        <w:spacing w:before="280" w:after="120"/>
      </w:pPr>
      <w:r>
        <w:lastRenderedPageBreak/>
        <w:t>3.4 Gene Set Enrichment Analysis</w:t>
      </w:r>
    </w:p>
    <w:p w14:paraId="052B8B91" w14:textId="77777777" w:rsidR="009C768D" w:rsidRDefault="00000000">
      <w:pPr>
        <w:pStyle w:val="Heading3"/>
        <w:spacing w:before="200" w:after="80"/>
      </w:pPr>
      <w:r>
        <w:t>3.4.1 Broad Resolution GSEA</w:t>
      </w:r>
    </w:p>
    <w:p w14:paraId="7295DD44" w14:textId="77777777" w:rsidR="009C768D" w:rsidRDefault="00000000">
      <w:pPr>
        <w:spacing w:before="80" w:after="120" w:line="360" w:lineRule="auto"/>
        <w:jc w:val="both"/>
      </w:pPr>
      <w:r>
        <w:t>Astrocytes showed the most coherent GSEA signal in the dataset: all top 20 enriched pathways were immune-related (NES 2.3–2.9, -log10q up to 8), including Activation of Innate Immune Response, Cytoplasmic Pattern Recognition Receptor Signalling, Cytokine-Mediated Signalling, and Regulation of Response to Stress. This uniform enrichment of immune programs at very high significance indicates a complete transcriptional identity shift toward an innate immune state.</w:t>
      </w:r>
    </w:p>
    <w:p w14:paraId="7A565E41" w14:textId="3EC6B26B" w:rsidR="009C768D" w:rsidRDefault="00000000">
      <w:pPr>
        <w:spacing w:before="80" w:after="120" w:line="360" w:lineRule="auto"/>
        <w:jc w:val="both"/>
      </w:pPr>
      <w:r>
        <w:t>Excitatory neurons showed enrichment of stress response and catabolic programs (mRNA Metabolic Process, Macromolecule Catabolic Process, Cellular Response to Stress, NES 1.8–2.4), with Circadian Regulation of Gene Expression as the highest-NES term connecting to the CRY1 DEG finding and suggesting circadian dysregulation as a component of neuronal vulnerability.</w:t>
      </w:r>
    </w:p>
    <w:p w14:paraId="5E6ADAD3" w14:textId="050311CC" w:rsidR="009C768D" w:rsidRDefault="00000000">
      <w:pPr>
        <w:spacing w:before="80" w:after="120" w:line="360" w:lineRule="auto"/>
        <w:jc w:val="both"/>
      </w:pPr>
      <w:r>
        <w:t>Inhibitory neurons showed only four significant pathways, three of which were mitochondrial bioenergetics (Oxidative Phosphorylation, Mitochondrial Respiratory Chain Complex Assembly, ATP Synthesis Coupled Electron Transport) all downregulated (NES approximately -2). This selective bioenergetic failure is mechanistically important given the high energy demands of sustained GABAergic interneuron firing.</w:t>
      </w:r>
    </w:p>
    <w:p w14:paraId="4459AA31" w14:textId="6AA63F33" w:rsidR="009C768D" w:rsidRDefault="00000000">
      <w:pPr>
        <w:spacing w:before="80" w:after="120" w:line="360" w:lineRule="auto"/>
        <w:jc w:val="both"/>
      </w:pPr>
      <w:r>
        <w:t xml:space="preserve">Microglia showed the strongest statistical signal in the dataset: all top 20 pathways were synaptic and neuronal gene programs, all downregulated (NES -2.2 to -2.6, -log10q up to 8), including Synaptic Signalling, Synapse Organization and Assembly, Neurogenesis, Axon Development, and Regulation of Postsynaptic Membrane Potential. This counter-intuitive result reflects the replacement of homeostatic microglial </w:t>
      </w:r>
      <w:proofErr w:type="spellStart"/>
      <w:r>
        <w:t>neurosupportive</w:t>
      </w:r>
      <w:proofErr w:type="spellEnd"/>
      <w:r>
        <w:t xml:space="preserve"> programs by the DAM transcriptional state, with homeostatic gene sets including genes involved in synaptic pruning surveillance being lost. Oligodendrocytes showed a similar pattern of synaptic program loss (negative NES) alongside cell cycle upregulation. OPCs showed bidirectional enrichment: mitotic nuclear division and cell cycle upregulated; synaptic signalling and membrane potential regulation downregulated.</w:t>
      </w:r>
    </w:p>
    <w:p w14:paraId="3EE2F5F7" w14:textId="7B362C2C" w:rsidR="009C768D" w:rsidRDefault="00000000">
      <w:pPr>
        <w:pStyle w:val="Heading3"/>
        <w:spacing w:before="200" w:after="80"/>
      </w:pPr>
      <w:r>
        <w:t xml:space="preserve">3.4.2 Fine Resolution GSEA </w:t>
      </w:r>
      <w:r w:rsidR="005D30AA">
        <w:t>-</w:t>
      </w:r>
      <w:r>
        <w:t xml:space="preserve"> Novel Findings</w:t>
      </w:r>
    </w:p>
    <w:p w14:paraId="2402C83E" w14:textId="43AF03F1" w:rsidR="009C768D" w:rsidRDefault="00000000">
      <w:pPr>
        <w:spacing w:before="80" w:after="120" w:line="360" w:lineRule="auto"/>
        <w:jc w:val="both"/>
      </w:pPr>
      <w:r>
        <w:t>Fine-resolution GSEA revealed findings not evident at broad resolution. Ex_L2_3 neurons specifically showed upregulation of adaptive and innate immune gene programs including NK Cell-Mediated Immunity, Antigen Processing and Presentation, Regulation of Leukocyte-Mediated Immunity, and Cytokine Production (NES 1.75–2.5). This pattern absent from Ex_L5_6, which retained the stress/catabolism signature of the broad analysis indicates that layer 2/3 neurons are undergoing MHC-I induction and interferon-stimulated gene expression, marking them for immune-mediated elimination.</w:t>
      </w:r>
    </w:p>
    <w:p w14:paraId="19C8BF41" w14:textId="18FB86B3" w:rsidR="009C768D" w:rsidRDefault="00000000">
      <w:pPr>
        <w:spacing w:before="80" w:after="120" w:line="360" w:lineRule="auto"/>
        <w:jc w:val="both"/>
      </w:pPr>
      <w:r>
        <w:lastRenderedPageBreak/>
        <w:t>OPCs at fine resolution showed canonical NF-</w:t>
      </w:r>
      <w:proofErr w:type="spellStart"/>
      <w:r>
        <w:t>κB</w:t>
      </w:r>
      <w:proofErr w:type="spellEnd"/>
      <w:r>
        <w:t xml:space="preserve"> Signal Transduction, TNF Superfamily Cytokine Production, and JNK Cascade as top upregulated pathways identifying NF-</w:t>
      </w:r>
      <w:proofErr w:type="spellStart"/>
      <w:r>
        <w:t>κB</w:t>
      </w:r>
      <w:proofErr w:type="spellEnd"/>
      <w:r>
        <w:t xml:space="preserve"> as the mechanistic driver of OPC inflammatory activation. Blood Vessel Morphogenesis was enriched in OPCs, suggesting a pathological identity shift under chronic NF-</w:t>
      </w:r>
      <w:proofErr w:type="spellStart"/>
      <w:r>
        <w:t>κB</w:t>
      </w:r>
      <w:proofErr w:type="spellEnd"/>
      <w:r>
        <w:t xml:space="preserve"> stimulation. COPs showed the most extreme NES values in the entire dataset (NES -3.2, -log10q approaching 8) for synaptic signalling programs, confirming that the differentiation block is most severe at the COP stage. Endothelial cells at fine resolution showed explicit downregulation of Learning or Memory and Cognition GO terms the most direct transcriptional link between vascular dysfunction and cognitive biology alongside Cell Junction Organization and Neurotransmitter Transport.</w:t>
      </w:r>
    </w:p>
    <w:p w14:paraId="455DD417" w14:textId="77777777" w:rsidR="009C768D" w:rsidRDefault="00000000">
      <w:pPr>
        <w:spacing w:before="80" w:after="120" w:line="360" w:lineRule="auto"/>
        <w:jc w:val="both"/>
      </w:pPr>
      <w:proofErr w:type="spellStart"/>
      <w:r>
        <w:t>Astrocytes_Reactive</w:t>
      </w:r>
      <w:proofErr w:type="spellEnd"/>
      <w:r>
        <w:t xml:space="preserve"> showed a distinct GSEA signature from regular astrocytes: the top two pathways were Protein Maturation and Response to Topologically Incorrect Protein (misfolded proteins), with NES reaching 2.4. This identifies the reactive subpopulation as the front-line cellular sensors of amyloid and tau </w:t>
      </w:r>
      <w:proofErr w:type="spellStart"/>
      <w:r>
        <w:t>proteostatic</w:t>
      </w:r>
      <w:proofErr w:type="spellEnd"/>
      <w:r>
        <w:t xml:space="preserve"> stress, distinct from the broader inflammatory program of regular astrocytes.</w:t>
      </w:r>
    </w:p>
    <w:p w14:paraId="3B9E4807" w14:textId="77777777" w:rsidR="009C768D" w:rsidRDefault="00000000">
      <w:pPr>
        <w:pStyle w:val="Heading2"/>
        <w:spacing w:before="280" w:after="120"/>
      </w:pPr>
      <w:r>
        <w:t>3.5 Cell-Cell Communication Inference</w:t>
      </w:r>
    </w:p>
    <w:p w14:paraId="423E0DEF" w14:textId="77777777" w:rsidR="009C768D" w:rsidRDefault="00000000">
      <w:pPr>
        <w:pStyle w:val="Heading3"/>
        <w:spacing w:before="200" w:after="80"/>
      </w:pPr>
      <w:r>
        <w:t>3.5.1 Global Network Remodelling</w:t>
      </w:r>
    </w:p>
    <w:p w14:paraId="61A9580C" w14:textId="053F014B" w:rsidR="009C768D" w:rsidRDefault="00000000">
      <w:pPr>
        <w:spacing w:before="80" w:after="120" w:line="360" w:lineRule="auto"/>
        <w:jc w:val="both"/>
      </w:pPr>
      <w:proofErr w:type="spellStart"/>
      <w:r>
        <w:t>CellChat</w:t>
      </w:r>
      <w:proofErr w:type="spellEnd"/>
      <w:r>
        <w:t xml:space="preserve"> analysis revealed a global shift in intercellular communication between AD and Control. The count of significant interactions was lower in AD across most cell-type pairs, while interaction strength (weight) was higher for the remaining interactions</w:t>
      </w:r>
      <w:r w:rsidR="005D30AA">
        <w:t xml:space="preserve"> </w:t>
      </w:r>
      <w:r>
        <w:t>indicating a transition from broad homeostatic crosstalk to a smaller number of amplified, disease-driving signals. Information flow analysis showed that classical synaptic and neurotrophic pathways (Glutamate, GABA-A, GABA-B, RELN, NRXN, IGF, SLITRK, ADGRB) dominated in Control, while inflammatory and structural remodelling pathways (SPP1, COLLAGEN, ANGPTL, JAM, CADM) dominated in AD. SPP1 showed the largest absolute increase in information flow of any pathway in AD.</w:t>
      </w:r>
    </w:p>
    <w:p w14:paraId="38A3B67A" w14:textId="77777777" w:rsidR="009C768D" w:rsidRDefault="00000000">
      <w:pPr>
        <w:spacing w:before="80" w:after="120" w:line="360" w:lineRule="auto"/>
        <w:jc w:val="both"/>
      </w:pPr>
      <w:r>
        <w:t>Signalling role scatter plots confirmed a directional reversal: in Control, neurons were the dominant senders with high outgoing interaction strength. In AD, Astrocytes and Microglia shifted to higher outgoing strength, indicating that glial cells become the primary signalling senders in the diseased brain, broadcasting inflammatory signals to a now-receiving neuronal compartment.</w:t>
      </w:r>
    </w:p>
    <w:p w14:paraId="7B9C324B" w14:textId="77777777" w:rsidR="009C768D" w:rsidRDefault="00000000">
      <w:pPr>
        <w:pStyle w:val="Heading3"/>
        <w:spacing w:before="200" w:after="80"/>
      </w:pPr>
      <w:r>
        <w:t>3.5.2 The SPP1-CD44 Microglia-to-Astrocyte Axis</w:t>
      </w:r>
    </w:p>
    <w:p w14:paraId="32426E7E" w14:textId="1FED6300" w:rsidR="009C768D" w:rsidRDefault="00000000">
      <w:pPr>
        <w:spacing w:before="80" w:after="120" w:line="360" w:lineRule="auto"/>
        <w:jc w:val="both"/>
      </w:pPr>
      <w:r>
        <w:t xml:space="preserve">The single most important finding from </w:t>
      </w:r>
      <w:proofErr w:type="spellStart"/>
      <w:r>
        <w:t>CellChat</w:t>
      </w:r>
      <w:proofErr w:type="spellEnd"/>
      <w:r>
        <w:t xml:space="preserve"> was the identification of SPP1-CD44 as an AD-specific intercellular interaction from Microglia to Astrocytes (communication probability = 0.342, p &lt; 0.01), completely absent in Control. SPP1 (</w:t>
      </w:r>
      <w:proofErr w:type="spellStart"/>
      <w:r>
        <w:t>osteopontin</w:t>
      </w:r>
      <w:proofErr w:type="spellEnd"/>
      <w:r>
        <w:t>) is the canonical marker of the disease-</w:t>
      </w:r>
      <w:r>
        <w:lastRenderedPageBreak/>
        <w:t>associated microglial state; CD44 is its receptor on astrocytes and drives pro-inflammatory A1-like astrocyte activation. This interaction mechanistically connects microglial DAM transition directly to astrocyte reactivity, providing the first ligand-receptor-level evidence in human entorhinal cortex that microglia are instructing astrocyte fate in AD. A convergent second input COL4A2-CD44, a collagen fragment produced by neurons in AD signalling to astrocytic CD44 reinforces astrocyte activation through ECM damage-associated signalling.</w:t>
      </w:r>
    </w:p>
    <w:p w14:paraId="3995AC5E" w14:textId="77777777" w:rsidR="009C768D" w:rsidRDefault="00000000">
      <w:pPr>
        <w:pStyle w:val="Heading3"/>
        <w:spacing w:before="200" w:after="80"/>
      </w:pPr>
      <w:r>
        <w:t xml:space="preserve">3.5.3 Loss of Astrocyte-to-Neuron </w:t>
      </w:r>
      <w:proofErr w:type="spellStart"/>
      <w:r>
        <w:t>Synaptogenic</w:t>
      </w:r>
      <w:proofErr w:type="spellEnd"/>
      <w:r>
        <w:t xml:space="preserve"> Support</w:t>
      </w:r>
    </w:p>
    <w:p w14:paraId="3E026EC3" w14:textId="77777777" w:rsidR="009C768D" w:rsidRDefault="00000000">
      <w:pPr>
        <w:spacing w:before="80" w:after="120" w:line="360" w:lineRule="auto"/>
        <w:jc w:val="both"/>
      </w:pPr>
      <w:r>
        <w:t xml:space="preserve">Control astrocytes communicated with neurons through approximately 25 significant ligand-receptor pairs, dominated by NRG3-ERBB4 (critical for interneuron maturation and GABAergic synapse development), NRG1-ERBB4, NRXN1-NLGN1, NRXN1-LRRTM3/4, NRXN1-CLSTN1/2/3 (synaptic organizers), FLRT2-UNC5B/C/D (axon guidance), and TENM2-ADGRL1/2/3 (synaptic organizers). In AD, this repertoire collapsed to approximately 8 pairs, all structural adhesion molecules: TENM4-ADGRL2/3, CADM1-CADM1, PTN-ALK, CADM1-NECTIN3, and ANGPTL4-CDH11. The qualitative shift from </w:t>
      </w:r>
      <w:proofErr w:type="spellStart"/>
      <w:r>
        <w:t>synaptogenic</w:t>
      </w:r>
      <w:proofErr w:type="spellEnd"/>
      <w:r>
        <w:t xml:space="preserve"> organizers to adhesion molecules represents a failure of astrocytic synaptic maintenance function.</w:t>
      </w:r>
    </w:p>
    <w:p w14:paraId="7E5FF5CB" w14:textId="5E5489B9" w:rsidR="009C768D" w:rsidRDefault="00000000">
      <w:pPr>
        <w:spacing w:before="80" w:after="120" w:line="360" w:lineRule="auto"/>
        <w:jc w:val="both"/>
      </w:pPr>
      <w:r>
        <w:t>Neurons simultaneously lost their glutamate-to-astrocyte feedback through the Glu-GRIA2 and Glu-GRM3 interactions in AD, breaking the glutamate homeostasis circuit at two nodes. Neurons to astrocytes in AD instead deployed COL4A2-CD44 and PTPRS-NTRK3</w:t>
      </w:r>
      <w:r w:rsidR="005D30AA">
        <w:t xml:space="preserve">, </w:t>
      </w:r>
      <w:r>
        <w:t>stress-context damage signals rather than physiological crosstalk.</w:t>
      </w:r>
    </w:p>
    <w:p w14:paraId="42656D79" w14:textId="77777777" w:rsidR="009C768D" w:rsidRDefault="00000000">
      <w:pPr>
        <w:pStyle w:val="Heading3"/>
        <w:spacing w:before="200" w:after="80"/>
      </w:pPr>
      <w:r>
        <w:t>3.5.4 The APP Signalling Switch and Oligodendrocyte Communication Loss</w:t>
      </w:r>
    </w:p>
    <w:p w14:paraId="48259732" w14:textId="645EFD84" w:rsidR="009C768D" w:rsidRDefault="00000000">
      <w:pPr>
        <w:spacing w:before="80" w:after="120" w:line="360" w:lineRule="auto"/>
        <w:jc w:val="both"/>
      </w:pPr>
      <w:r>
        <w:t>The APP ligand-receptor axis showed a clinically significant qualitative shift: in Control, all neurons signalled to microglia via APP-SORL1</w:t>
      </w:r>
      <w:r w:rsidR="005D30AA">
        <w:t>-</w:t>
      </w:r>
      <w:r>
        <w:t xml:space="preserve"> a non-amyloidogenic APP processing interaction. In AD, this shifted to APP-CD74 (excitatory and PV neurons to microglia), where CD74 is the MIF co-receptor associated with microglial inflammatory activation. This shift from APP-SORL1 to APP-CD74 provides a direct intercellular molecular mechanism by which neuronal amyloid biology drives microglial inflammation.</w:t>
      </w:r>
    </w:p>
    <w:p w14:paraId="652623A4" w14:textId="154078B6" w:rsidR="009C768D" w:rsidRDefault="00000000">
      <w:pPr>
        <w:spacing w:before="80" w:after="120" w:line="360" w:lineRule="auto"/>
        <w:jc w:val="both"/>
      </w:pPr>
      <w:r>
        <w:t>Oligodendrocytes lost the NRXN3-neuroligin/LRRTM/</w:t>
      </w:r>
      <w:proofErr w:type="spellStart"/>
      <w:r>
        <w:t>calsyntenin</w:t>
      </w:r>
      <w:proofErr w:type="spellEnd"/>
      <w:r>
        <w:t xml:space="preserve"> myelination recognition program in </w:t>
      </w:r>
      <w:proofErr w:type="gramStart"/>
      <w:r>
        <w:t>AD</w:t>
      </w:r>
      <w:r w:rsidR="005D30AA">
        <w:t>,</w:t>
      </w:r>
      <w:proofErr w:type="gramEnd"/>
      <w:r>
        <w:t xml:space="preserve"> a set of interactions present across all neuron subtypes in Control that enables oligodendrocytes to identify and contact specific axons for myelination. In AD, NRXN3 signalling was replaced by generic CADM1 adhesion, meaning oligodendrocytes can physically contact neurons but cannot execute the axon-specific myelination initiation program.</w:t>
      </w:r>
    </w:p>
    <w:p w14:paraId="0332398D" w14:textId="77777777" w:rsidR="009C768D" w:rsidRDefault="00000000">
      <w:pPr>
        <w:pStyle w:val="Heading2"/>
        <w:spacing w:before="280" w:after="120"/>
      </w:pPr>
      <w:r>
        <w:t xml:space="preserve">3.6 </w:t>
      </w:r>
      <w:proofErr w:type="spellStart"/>
      <w:r>
        <w:t>Pseudotime</w:t>
      </w:r>
      <w:proofErr w:type="spellEnd"/>
      <w:r>
        <w:t xml:space="preserve"> Trajectory Analysis</w:t>
      </w:r>
    </w:p>
    <w:p w14:paraId="38D68A13" w14:textId="77777777" w:rsidR="009C768D" w:rsidRDefault="00000000">
      <w:pPr>
        <w:pStyle w:val="Heading3"/>
        <w:spacing w:before="200" w:after="80"/>
      </w:pPr>
      <w:r>
        <w:lastRenderedPageBreak/>
        <w:t>3.6.1 Astrocyte Reactivity Trajectory</w:t>
      </w:r>
    </w:p>
    <w:p w14:paraId="197BC90F" w14:textId="77777777" w:rsidR="009C768D" w:rsidRDefault="00000000">
      <w:pPr>
        <w:spacing w:before="80" w:after="120" w:line="360" w:lineRule="auto"/>
        <w:jc w:val="both"/>
      </w:pPr>
      <w:r>
        <w:t xml:space="preserve">Monocle3 trajectory analysis of the combined astrocyte population (Astrocytes + </w:t>
      </w:r>
      <w:proofErr w:type="spellStart"/>
      <w:r>
        <w:t>Astrocytes_Reactive</w:t>
      </w:r>
      <w:proofErr w:type="spellEnd"/>
      <w:r>
        <w:t xml:space="preserve">) revealed a multi-branch trajectory with 16 clusters and </w:t>
      </w:r>
      <w:proofErr w:type="spellStart"/>
      <w:r>
        <w:t>pseudotime</w:t>
      </w:r>
      <w:proofErr w:type="spellEnd"/>
      <w:r>
        <w:t xml:space="preserve"> spanning 0 to 50. The root was identified as the most homeostatic cluster (cluster 1, lowest GFAP/HES5 expression). A central transitional hub (cluster 2, </w:t>
      </w:r>
      <w:proofErr w:type="spellStart"/>
      <w:r>
        <w:t>pseudotime</w:t>
      </w:r>
      <w:proofErr w:type="spellEnd"/>
      <w:r>
        <w:t xml:space="preserve"> ~20) gave rise to three trajectory arms: a primary reactive arm leading to the full </w:t>
      </w:r>
      <w:proofErr w:type="spellStart"/>
      <w:r>
        <w:t>Astrocytes_Reactive</w:t>
      </w:r>
      <w:proofErr w:type="spellEnd"/>
      <w:r>
        <w:t xml:space="preserve"> endpoint (clusters 3–10), a partial activation arm, and a homeostatic reservoir arm. </w:t>
      </w:r>
      <w:proofErr w:type="spellStart"/>
      <w:r>
        <w:t>Astrocytes_Reactive</w:t>
      </w:r>
      <w:proofErr w:type="spellEnd"/>
      <w:r>
        <w:t xml:space="preserve"> cells were concentrated at late </w:t>
      </w:r>
      <w:proofErr w:type="spellStart"/>
      <w:r>
        <w:t>pseudotime</w:t>
      </w:r>
      <w:proofErr w:type="spellEnd"/>
      <w:r>
        <w:t xml:space="preserve"> (30–50).</w:t>
      </w:r>
    </w:p>
    <w:p w14:paraId="3CDCF9E0" w14:textId="77777777" w:rsidR="009C768D" w:rsidRDefault="00000000">
      <w:pPr>
        <w:spacing w:before="80" w:after="120" w:line="360" w:lineRule="auto"/>
        <w:jc w:val="both"/>
      </w:pPr>
      <w:r>
        <w:t xml:space="preserve">Comparison of </w:t>
      </w:r>
      <w:proofErr w:type="spellStart"/>
      <w:r>
        <w:t>pseudotime</w:t>
      </w:r>
      <w:proofErr w:type="spellEnd"/>
      <w:r>
        <w:t xml:space="preserve"> distributions between conditions revealed a clear AD right-shift: Control cells peaked in density at </w:t>
      </w:r>
      <w:proofErr w:type="spellStart"/>
      <w:r>
        <w:t>pseudotime</w:t>
      </w:r>
      <w:proofErr w:type="spellEnd"/>
      <w:r>
        <w:t xml:space="preserve"> 5–15 (homeostatic/early-transitional), while AD cells peaked at 20–35 with a substantial tail extending to the reactive endpoint. The boxplot confirmed significantly higher median </w:t>
      </w:r>
      <w:proofErr w:type="spellStart"/>
      <w:r>
        <w:t>pseudotime</w:t>
      </w:r>
      <w:proofErr w:type="spellEnd"/>
      <w:r>
        <w:t xml:space="preserve"> in AD. Top trajectory-varying genes included HES5 and TNFRSF14-AS1 (late-rising, AD-enriched), MIR34AHG and IFI6 (late-rising, linking terminal reactivity to apoptotic priming and interferon induction), and KAZN and FBXO2 (early-falling, homeostatic markers).</w:t>
      </w:r>
    </w:p>
    <w:p w14:paraId="046ACD69" w14:textId="77777777" w:rsidR="009C768D" w:rsidRDefault="00000000">
      <w:pPr>
        <w:pStyle w:val="Heading3"/>
        <w:spacing w:before="200" w:after="80"/>
      </w:pPr>
      <w:r>
        <w:t>3.6.2 Microglia Activation Trajectory</w:t>
      </w:r>
    </w:p>
    <w:p w14:paraId="1056F01E" w14:textId="77777777" w:rsidR="009C768D" w:rsidRDefault="00000000">
      <w:pPr>
        <w:spacing w:before="80" w:after="120" w:line="360" w:lineRule="auto"/>
        <w:jc w:val="both"/>
      </w:pPr>
      <w:r>
        <w:t xml:space="preserve">The microglia trajectory showed 8 clusters with </w:t>
      </w:r>
      <w:proofErr w:type="spellStart"/>
      <w:r>
        <w:t>pseudotime</w:t>
      </w:r>
      <w:proofErr w:type="spellEnd"/>
      <w:r>
        <w:t xml:space="preserve"> 0–20, and a clear homeostatic-to-DAM arc. The central dense homeostatic mass (clusters 1, 4) served as root, with trajectory arms extending to an intermediate state (clusters 7, 8, </w:t>
      </w:r>
      <w:proofErr w:type="spellStart"/>
      <w:r>
        <w:t>pseudotime</w:t>
      </w:r>
      <w:proofErr w:type="spellEnd"/>
      <w:r>
        <w:t xml:space="preserve"> 5–12) and the activated DAM endpoint (clusters 3, 5, 6, </w:t>
      </w:r>
      <w:proofErr w:type="spellStart"/>
      <w:r>
        <w:t>pseudotime</w:t>
      </w:r>
      <w:proofErr w:type="spellEnd"/>
      <w:r>
        <w:t xml:space="preserve"> 12–20).</w:t>
      </w:r>
    </w:p>
    <w:p w14:paraId="72466080" w14:textId="0BCE7F97" w:rsidR="009C768D" w:rsidRDefault="00000000">
      <w:pPr>
        <w:spacing w:before="80" w:after="120" w:line="360" w:lineRule="auto"/>
        <w:jc w:val="both"/>
      </w:pPr>
      <w:r>
        <w:t xml:space="preserve">The cell-type composition plot by </w:t>
      </w:r>
      <w:proofErr w:type="spellStart"/>
      <w:r>
        <w:t>pseudotime</w:t>
      </w:r>
      <w:proofErr w:type="spellEnd"/>
      <w:r>
        <w:t xml:space="preserve"> decile showed that in Control, </w:t>
      </w:r>
      <w:proofErr w:type="spellStart"/>
      <w:r>
        <w:t>Microglia_Homeostatic</w:t>
      </w:r>
      <w:proofErr w:type="spellEnd"/>
      <w:r>
        <w:t xml:space="preserve"> remained dominant through Q7, with activated cells appearing at Q8–Q10 as a minority. In AD, </w:t>
      </w:r>
      <w:proofErr w:type="spellStart"/>
      <w:r>
        <w:t>Microglia_Activated</w:t>
      </w:r>
      <w:proofErr w:type="spellEnd"/>
      <w:r>
        <w:t xml:space="preserve"> rose steeply from Q6 onward, becoming dominant at Q8–Q10. The DAM signature score (computed from SPP1, APOE, TREM2, CCL4, and related DAM genes) rose monotonically with </w:t>
      </w:r>
      <w:proofErr w:type="spellStart"/>
      <w:r>
        <w:t>pseudotime</w:t>
      </w:r>
      <w:proofErr w:type="spellEnd"/>
      <w:r>
        <w:t xml:space="preserve"> in both conditions, but the AD trajectory reached approximately 1.0 at late </w:t>
      </w:r>
      <w:proofErr w:type="spellStart"/>
      <w:r>
        <w:t>pseudotime</w:t>
      </w:r>
      <w:proofErr w:type="spellEnd"/>
      <w:r>
        <w:t xml:space="preserve"> compared to 0.35 in Control</w:t>
      </w:r>
      <w:r w:rsidR="005D30AA">
        <w:t>,</w:t>
      </w:r>
      <w:r>
        <w:t xml:space="preserve"> a 3-fold difference. Conversely, the homeostatic signature score (P2RY12, TMEM119, CX3CR1) fell faster in AD, reaching 0.3 by late </w:t>
      </w:r>
      <w:proofErr w:type="spellStart"/>
      <w:r>
        <w:t>pseudotime</w:t>
      </w:r>
      <w:proofErr w:type="spellEnd"/>
      <w:r>
        <w:t xml:space="preserve"> versus 0.7 in Control. The DAM-homeostatic crossing point</w:t>
      </w:r>
      <w:r w:rsidR="005D30AA">
        <w:t xml:space="preserve">, </w:t>
      </w:r>
      <w:r>
        <w:t xml:space="preserve">where DAM score exceeds homeostatic score occurred at an earlier </w:t>
      </w:r>
      <w:proofErr w:type="spellStart"/>
      <w:r>
        <w:t>pseudotime</w:t>
      </w:r>
      <w:proofErr w:type="spellEnd"/>
      <w:r>
        <w:t xml:space="preserve"> in AD, confirming disease-accelerated conversion.</w:t>
      </w:r>
    </w:p>
    <w:p w14:paraId="10F0F1C8" w14:textId="03CB536D" w:rsidR="009C768D" w:rsidRDefault="00000000">
      <w:pPr>
        <w:spacing w:before="80" w:after="120" w:line="360" w:lineRule="auto"/>
        <w:jc w:val="both"/>
      </w:pPr>
      <w:r>
        <w:t>Top trajectory-varying genes included RAP1GAP (late-rising; inactivates RAP1 GTPase required for homeostatic process extension, providing a molecular mechanism for amoeboid morphological conversion), PTPRU (late-rising), and GPR153 (late-rising), while RPL11, RPS8, RPS27 (ribosomal proteins), DPYD, NEGR1, and PDE4B fell monotonically</w:t>
      </w:r>
      <w:r w:rsidR="005D30AA">
        <w:t>,</w:t>
      </w:r>
      <w:r>
        <w:t xml:space="preserve"> the ribosomal protein loss reflecting reduced translational capacity in the activated state.</w:t>
      </w:r>
    </w:p>
    <w:p w14:paraId="06785310" w14:textId="77777777" w:rsidR="009C768D" w:rsidRDefault="00000000">
      <w:pPr>
        <w:pStyle w:val="Heading3"/>
        <w:spacing w:before="200" w:after="80"/>
      </w:pPr>
      <w:r>
        <w:lastRenderedPageBreak/>
        <w:t>3.6.3 Oligodendrocyte Lineage Trajectory</w:t>
      </w:r>
    </w:p>
    <w:p w14:paraId="51173247" w14:textId="77777777" w:rsidR="009C768D" w:rsidRDefault="00000000">
      <w:pPr>
        <w:spacing w:before="80" w:after="120" w:line="360" w:lineRule="auto"/>
        <w:jc w:val="both"/>
      </w:pPr>
      <w:r>
        <w:t xml:space="preserve">The oligodendrocyte trajectory comprised OPCs, COPs, and mature oligodendrocytes across 18 clusters with </w:t>
      </w:r>
      <w:proofErr w:type="spellStart"/>
      <w:r>
        <w:t>pseudotime</w:t>
      </w:r>
      <w:proofErr w:type="spellEnd"/>
      <w:r>
        <w:t xml:space="preserve"> 0–45. The OPC island (clusters 1, 9) served as the root, connected via a narrow commitment bridge (cluster 18) to the larger COP-Oligodendrocyte mass. An isolated terminal cluster (cluster with </w:t>
      </w:r>
      <w:proofErr w:type="spellStart"/>
      <w:r>
        <w:t>pseudotime</w:t>
      </w:r>
      <w:proofErr w:type="spellEnd"/>
      <w:r>
        <w:t xml:space="preserve"> ~45), connected by a long branch and expressing TNFRSF25 and CHD5, was identified as a putative terminally stressed oligodendrocyte subpopulation.</w:t>
      </w:r>
    </w:p>
    <w:p w14:paraId="01F0A0BE" w14:textId="77777777" w:rsidR="009C768D" w:rsidRDefault="00000000">
      <w:pPr>
        <w:spacing w:before="80" w:after="120" w:line="360" w:lineRule="auto"/>
        <w:jc w:val="both"/>
      </w:pPr>
      <w:r>
        <w:t xml:space="preserve">The composition plot by </w:t>
      </w:r>
      <w:proofErr w:type="spellStart"/>
      <w:r>
        <w:t>pseudotime</w:t>
      </w:r>
      <w:proofErr w:type="spellEnd"/>
      <w:r>
        <w:t xml:space="preserve"> decile revealed the COP-stage differentiation bottleneck: in Control, COPs peaked at Q4–Q6 and mature oligodendrocytes dominated Q7–Q10. In AD, COPs showed excess accumulation at Q4–Q6 and the mature oligodendrocyte proportion at Q7–Q10 was reduced, confirming stalling at the commitment checkpoint. The </w:t>
      </w:r>
      <w:proofErr w:type="spellStart"/>
      <w:r>
        <w:t>pseudotime</w:t>
      </w:r>
      <w:proofErr w:type="spellEnd"/>
      <w:r>
        <w:t xml:space="preserve"> density comparison showed a bimodal AD distribution with an early OPC-retained peak and a broad mid-</w:t>
      </w:r>
      <w:proofErr w:type="spellStart"/>
      <w:r>
        <w:t>pseudotime</w:t>
      </w:r>
      <w:proofErr w:type="spellEnd"/>
      <w:r>
        <w:t xml:space="preserve"> COP-enriched peak, contrasting with Control's smoother unimodal progression.</w:t>
      </w:r>
    </w:p>
    <w:p w14:paraId="07534F6D" w14:textId="380296B7" w:rsidR="009C768D" w:rsidRDefault="00000000">
      <w:pPr>
        <w:spacing w:before="80" w:after="120" w:line="360" w:lineRule="auto"/>
        <w:jc w:val="both"/>
      </w:pPr>
      <w:r>
        <w:t>Top trajectory-varying genes included HES5 (late-rising, AD-enriched</w:t>
      </w:r>
      <w:r w:rsidR="005D30AA">
        <w:t>,</w:t>
      </w:r>
      <w:r>
        <w:t xml:space="preserve"> confirming Notch-mediated myelination suppression at the terminal differentiation stage), TNFRSF25 (late-rising</w:t>
      </w:r>
      <w:r w:rsidR="005D30AA">
        <w:t>,</w:t>
      </w:r>
      <w:r>
        <w:t xml:space="preserve"> death receptor signalling at terminal stressed state), and PLEKHG5 and CHD5 (late-rising chromatin </w:t>
      </w:r>
      <w:proofErr w:type="spellStart"/>
      <w:r>
        <w:t>remodeller</w:t>
      </w:r>
      <w:proofErr w:type="spellEnd"/>
      <w:r>
        <w:t>). Falling genes were canonical OPC identity markers: STMN1 (proliferating OPC microtubule destabilizer), MARCKSL1 (migration marker), MYCL, RNF220, and SDC3.</w:t>
      </w:r>
    </w:p>
    <w:p w14:paraId="221AB722" w14:textId="41515F09" w:rsidR="009C768D" w:rsidRDefault="00000000">
      <w:pPr>
        <w:pStyle w:val="Heading3"/>
        <w:spacing w:before="200" w:after="80"/>
      </w:pPr>
      <w:r>
        <w:t xml:space="preserve">3.6.4 Cross-Trajectory Synthesis </w:t>
      </w:r>
      <w:r w:rsidR="005D30AA">
        <w:t>-</w:t>
      </w:r>
      <w:r>
        <w:t xml:space="preserve"> HES5 as a Pan-Glial Convergence Point</w:t>
      </w:r>
    </w:p>
    <w:p w14:paraId="75F0561A" w14:textId="49CEEAF4" w:rsidR="009C768D" w:rsidRDefault="00000000">
      <w:pPr>
        <w:spacing w:before="80" w:after="120" w:line="360" w:lineRule="auto"/>
        <w:jc w:val="both"/>
      </w:pPr>
      <w:r>
        <w:t>Critically, HES5 was identified as a late-</w:t>
      </w:r>
      <w:proofErr w:type="spellStart"/>
      <w:r>
        <w:t>pseudotime</w:t>
      </w:r>
      <w:proofErr w:type="spellEnd"/>
      <w:r>
        <w:t xml:space="preserve"> rising gene in both the astrocyte reactivity trajectory and the oligodendrocyte lineage trajectory. In astrocytes, late HES5 marks the terminal reactive endpoint and drives A1-like inflammatory identity. In oligodendrocytes, late HES5 at the COP-to-mature transition stage acts as a Notch effector that represses the Olig2-Myrf myelination transcription factor cascade. The same Notch-HES5 axis therefore simultaneously blocks myelination and amplifies astrocyte reactivity identifying Notch pathway hyperactivation as a shared molecular driver of two otherwise mechanistically distinct AD glial pathologies. RNF220, a </w:t>
      </w:r>
      <w:proofErr w:type="spellStart"/>
      <w:r>
        <w:t>Wnt</w:t>
      </w:r>
      <w:proofErr w:type="spellEnd"/>
      <w:r>
        <w:t xml:space="preserve"> signalling regulator, fell along both the oligodendrocyte and microglia </w:t>
      </w:r>
      <w:proofErr w:type="spellStart"/>
      <w:r>
        <w:t>pseudotime</w:t>
      </w:r>
      <w:proofErr w:type="spellEnd"/>
      <w:r>
        <w:t xml:space="preserve"> trajectories, suggesting </w:t>
      </w:r>
      <w:proofErr w:type="spellStart"/>
      <w:r>
        <w:t>Wnt</w:t>
      </w:r>
      <w:proofErr w:type="spellEnd"/>
      <w:r>
        <w:t xml:space="preserve"> pathway downregulation as a shared early event in glial state transitions.</w:t>
      </w:r>
    </w:p>
    <w:p w14:paraId="20240E55" w14:textId="77777777" w:rsidR="009C768D" w:rsidRDefault="009C768D">
      <w:pPr>
        <w:spacing w:after="60"/>
      </w:pPr>
    </w:p>
    <w:p w14:paraId="22469DE2" w14:textId="77777777" w:rsidR="009C768D" w:rsidRDefault="00000000">
      <w:pPr>
        <w:pStyle w:val="Heading1"/>
        <w:pBdr>
          <w:bottom w:val="single" w:sz="8" w:space="4" w:color="2E5FA3"/>
        </w:pBdr>
        <w:spacing w:before="360" w:after="160"/>
      </w:pPr>
      <w:r>
        <w:t>4. Discussion</w:t>
      </w:r>
    </w:p>
    <w:p w14:paraId="0A23BA20" w14:textId="77777777" w:rsidR="009C768D" w:rsidRDefault="00000000">
      <w:pPr>
        <w:pStyle w:val="Heading2"/>
        <w:spacing w:before="280" w:after="120"/>
      </w:pPr>
      <w:r>
        <w:t>4.1 A Unified Disease Circuit in the AD Entorhinal Cortex</w:t>
      </w:r>
    </w:p>
    <w:p w14:paraId="17A81AFE" w14:textId="17E85F5F" w:rsidR="009C768D" w:rsidRDefault="00000000">
      <w:pPr>
        <w:spacing w:before="80" w:after="120" w:line="360" w:lineRule="auto"/>
        <w:jc w:val="both"/>
      </w:pPr>
      <w:r>
        <w:lastRenderedPageBreak/>
        <w:t xml:space="preserve">The convergent findings from DEG, GSEA, </w:t>
      </w:r>
      <w:proofErr w:type="spellStart"/>
      <w:r>
        <w:t>CellChat</w:t>
      </w:r>
      <w:proofErr w:type="spellEnd"/>
      <w:r>
        <w:t xml:space="preserve">, and </w:t>
      </w:r>
      <w:proofErr w:type="spellStart"/>
      <w:r>
        <w:t>pseudotime</w:t>
      </w:r>
      <w:proofErr w:type="spellEnd"/>
      <w:r>
        <w:t xml:space="preserve"> analyses delineate a coherent, multi-step disease circuit operating across all major cell types of the entorhinal cortex in Alzheimer's disease. The circuit initiates with neuronal APP processing dysregulation specifically the shift from APP-SORL1 (non-amyloidogenic) to APP-CD74 (microglial inflammatory activation) signalling identified by </w:t>
      </w:r>
      <w:proofErr w:type="spellStart"/>
      <w:r>
        <w:t>CellChat</w:t>
      </w:r>
      <w:proofErr w:type="spellEnd"/>
      <w:r>
        <w:t xml:space="preserve"> and propagates through microglial DAM conversion, astrocyte reactivity induction, oligodendrocyte differentiation failure, and endothelial neurovascular uncoupling, culminating in neuronal immune gene induction and synaptic collapse.</w:t>
      </w:r>
    </w:p>
    <w:p w14:paraId="2720530C" w14:textId="6AD6D26C" w:rsidR="009C768D" w:rsidRDefault="00000000">
      <w:pPr>
        <w:spacing w:before="80" w:after="120" w:line="360" w:lineRule="auto"/>
        <w:jc w:val="both"/>
      </w:pPr>
      <w:r>
        <w:t>Central to this circuit is the SPP1-CD44 interaction from microglia to astrocytes, identified as completely absent in Control and appearing de novo in AD with a communication probability of 0.342. This single interaction mechanistically connects the two most transcriptionally perturbed cell types in the dataset linking DAM microglia to reactive astrocytes through the SPP1-CD44 axis that is well established as a driver of inflammatory astrocyte fate in rodent models but had not previously been reported at the ligand-receptor level in human AD entorhinal cortex. The simultaneous identification of COL4A2-CD44 from neurons to astrocytes a collagen ECM damage signal provides a second, neuron-derived pro-reactive input to astrocytic CD44, suggesting that CD44 acts as a convergence point for multiple AD pathological signals on astrocyte biology.</w:t>
      </w:r>
    </w:p>
    <w:p w14:paraId="1E1EC5DC" w14:textId="77777777" w:rsidR="009C768D" w:rsidRDefault="00000000">
      <w:pPr>
        <w:pStyle w:val="Heading2"/>
        <w:spacing w:before="280" w:after="120"/>
      </w:pPr>
      <w:r>
        <w:t>4.2 Layer-Specific Neuronal Vulnerability and Immune Gene Induction</w:t>
      </w:r>
    </w:p>
    <w:p w14:paraId="1D993BE0" w14:textId="4EA460C5" w:rsidR="009C768D" w:rsidRDefault="00000000">
      <w:pPr>
        <w:spacing w:before="80" w:after="120" w:line="360" w:lineRule="auto"/>
        <w:jc w:val="both"/>
      </w:pPr>
      <w:r>
        <w:t xml:space="preserve">Among the most clinically and mechanistically significant findings is the GSEA result from Ex_L2_3 neurons showing upregulation of adaptive immune and cytotoxic gene programs including NK Cell-Mediated Immunity, Antigen Processing and Presentation, and Regulation of Leukocyte-Mediated Immunity. This pattern is consistent with MHC-I class upregulation and interferon-stimulated gene induction in vulnerable neurons </w:t>
      </w:r>
      <w:r w:rsidR="005D30AA">
        <w:t>,</w:t>
      </w:r>
      <w:r>
        <w:t xml:space="preserve">a process that marks neurons for immune-mediated elimination and has been proposed as a mechanism of synapse loss and neuronal death in several neurodegenerative contexts. The layer specificity is biologically meaningful: Ex_L2_3 neurons project to and receive from the hippocampus via the </w:t>
      </w:r>
      <w:proofErr w:type="spellStart"/>
      <w:r>
        <w:t>perforant</w:t>
      </w:r>
      <w:proofErr w:type="spellEnd"/>
      <w:r>
        <w:t xml:space="preserve"> path, making their loss particularly consequential for the episodic memory deficits that define early AD.</w:t>
      </w:r>
    </w:p>
    <w:p w14:paraId="1A9AC7A2" w14:textId="35E71C3B" w:rsidR="009C768D" w:rsidRDefault="00000000">
      <w:pPr>
        <w:spacing w:before="80" w:after="120" w:line="360" w:lineRule="auto"/>
        <w:jc w:val="both"/>
      </w:pPr>
      <w:r>
        <w:t>In contrast, Ex_L5_6 neurons retain the stress-catabolism signature of the broad analysis (ER stress, circadian rhythm, protein catabolism) without the immune gene induction. This suggests that deep-layer neurons are primarily dying from proteotoxic and metabolic stress while superficial-layer neurons are additionally being immunologically targeted</w:t>
      </w:r>
      <w:r w:rsidR="005D30AA">
        <w:t xml:space="preserve">, </w:t>
      </w:r>
      <w:r>
        <w:t>a two-mechanism model of layered neuronal vulnerability that may explain the well-documented laminar pattern of neurofibrillary tangle progression.</w:t>
      </w:r>
    </w:p>
    <w:p w14:paraId="3EE961BA" w14:textId="77777777" w:rsidR="009C768D" w:rsidRDefault="00000000">
      <w:pPr>
        <w:pStyle w:val="Heading2"/>
        <w:spacing w:before="280" w:after="120"/>
      </w:pPr>
      <w:r>
        <w:lastRenderedPageBreak/>
        <w:t>4.3 The Oligodendrocyte Lineage: Proliferation Without Productive Myelination</w:t>
      </w:r>
    </w:p>
    <w:p w14:paraId="1A56E82D" w14:textId="7F06B857" w:rsidR="009C768D" w:rsidRDefault="00000000">
      <w:pPr>
        <w:spacing w:before="80" w:after="120" w:line="360" w:lineRule="auto"/>
        <w:jc w:val="both"/>
      </w:pPr>
      <w:r>
        <w:t>The paradox of oligodendrocyte lineage behaviour in AD increased OPC numbers in post-mortem tissue without evidence of remyelination</w:t>
      </w:r>
      <w:r w:rsidR="005D30AA">
        <w:t xml:space="preserve"> </w:t>
      </w:r>
      <w:r>
        <w:t>is resolved by our trajectory analysis. OPCs proliferate (mitotic nuclear division and cell cycle are the top upregulated GSEA terms at fine resolution), but COPs accumulate at the differentiation commitment stage due to NF-</w:t>
      </w:r>
      <w:proofErr w:type="spellStart"/>
      <w:r>
        <w:t>κB</w:t>
      </w:r>
      <w:proofErr w:type="spellEnd"/>
      <w:r>
        <w:t>-driven inflammatory activation (canonical NF-</w:t>
      </w:r>
      <w:proofErr w:type="spellStart"/>
      <w:r>
        <w:t>κB</w:t>
      </w:r>
      <w:proofErr w:type="spellEnd"/>
      <w:r>
        <w:t xml:space="preserve"> signalling, TNF-family cytokine production, JNK cascade all enriched at the COP stage) combined with loss of the axonal NRXN3-neuroligin/LRRTM/</w:t>
      </w:r>
      <w:proofErr w:type="spellStart"/>
      <w:r>
        <w:t>calsyntenin</w:t>
      </w:r>
      <w:proofErr w:type="spellEnd"/>
      <w:r>
        <w:t xml:space="preserve"> contact signals required for activity-dependent myelination. Mature oligodendrocytes, having lost axon-responsive programs (synaptic gene program GSEA) and gained cell cycle re-entry signals, are unable to adaptively myelinate active axons.</w:t>
      </w:r>
    </w:p>
    <w:p w14:paraId="1315C464" w14:textId="36B813F5" w:rsidR="009C768D" w:rsidRDefault="00000000">
      <w:pPr>
        <w:spacing w:before="80" w:after="120" w:line="360" w:lineRule="auto"/>
        <w:jc w:val="both"/>
      </w:pPr>
      <w:r>
        <w:t>The identification of HES5 as a late-</w:t>
      </w:r>
      <w:proofErr w:type="spellStart"/>
      <w:r>
        <w:t>pseudotime</w:t>
      </w:r>
      <w:proofErr w:type="spellEnd"/>
      <w:r>
        <w:t xml:space="preserve"> rising gene in the oligodendrocyte trajectory provides a specific molecular mechanism for the COP-stage block. Notch-HES5 signalling directly represses Olig2 and </w:t>
      </w:r>
      <w:proofErr w:type="spellStart"/>
      <w:r>
        <w:t>Myrf</w:t>
      </w:r>
      <w:proofErr w:type="spellEnd"/>
      <w:r>
        <w:t>, the master transcription factors driving myelination gene expression. Inflammatory cytokines including TNF-alpha and IL-1beta likely derived from activated microglia and reactive astrocytes are known activators of Notch signalling in oligodendrocyte precursors. Our data suggest that the same NF-</w:t>
      </w:r>
      <w:proofErr w:type="spellStart"/>
      <w:r>
        <w:t>κB</w:t>
      </w:r>
      <w:proofErr w:type="spellEnd"/>
      <w:r>
        <w:t>-driven inflammatory environment that activates COPs also simultaneously activates Notch-HES5 to block their differentiation creating a cell-autonomous differentiation trap driven by the inflammatory context.</w:t>
      </w:r>
    </w:p>
    <w:p w14:paraId="451BF317" w14:textId="77777777" w:rsidR="009C768D" w:rsidRDefault="00000000">
      <w:pPr>
        <w:pStyle w:val="Heading2"/>
        <w:spacing w:before="280" w:after="120"/>
      </w:pPr>
      <w:r>
        <w:t xml:space="preserve">4.4 Microglial </w:t>
      </w:r>
      <w:proofErr w:type="spellStart"/>
      <w:r>
        <w:t>Pseudotime</w:t>
      </w:r>
      <w:proofErr w:type="spellEnd"/>
      <w:r>
        <w:t xml:space="preserve"> and the DAM Conversion Rate</w:t>
      </w:r>
    </w:p>
    <w:p w14:paraId="5C498D20" w14:textId="33BB60F1" w:rsidR="009C768D" w:rsidRDefault="00000000">
      <w:pPr>
        <w:spacing w:before="80" w:after="120" w:line="360" w:lineRule="auto"/>
        <w:jc w:val="both"/>
      </w:pPr>
      <w:r>
        <w:t xml:space="preserve">The DAM signature scoring analysis along microglia </w:t>
      </w:r>
      <w:proofErr w:type="spellStart"/>
      <w:r>
        <w:t>pseudotime</w:t>
      </w:r>
      <w:proofErr w:type="spellEnd"/>
      <w:r>
        <w:t xml:space="preserve"> provides a quantitative measure of how much further AD microglia have converted toward the disease-associated state compared to Control microglia traversing the same trajectory. The 3-fold difference in late-</w:t>
      </w:r>
      <w:proofErr w:type="spellStart"/>
      <w:r>
        <w:t>pseudotime</w:t>
      </w:r>
      <w:proofErr w:type="spellEnd"/>
      <w:r>
        <w:t xml:space="preserve"> DAM score between conditions (AD ~1.0 vs Control ~0.35) demonstrates that the DAM transition is not simply more common in AD</w:t>
      </w:r>
      <w:r w:rsidR="005D30AA">
        <w:t>,</w:t>
      </w:r>
      <w:r>
        <w:t xml:space="preserve"> it is more complete. AD microglia have lost homeostatic identity more thoroughly (homeostatic score AD ~0.3 vs Control ~0.7 at late </w:t>
      </w:r>
      <w:proofErr w:type="spellStart"/>
      <w:r>
        <w:t>pseudotime</w:t>
      </w:r>
      <w:proofErr w:type="spellEnd"/>
      <w:r>
        <w:t>) while simultaneously gained DAM identity more fully.</w:t>
      </w:r>
    </w:p>
    <w:p w14:paraId="0CB7E151" w14:textId="77777777" w:rsidR="009C768D" w:rsidRDefault="00000000">
      <w:pPr>
        <w:spacing w:before="80" w:after="120" w:line="360" w:lineRule="auto"/>
        <w:jc w:val="both"/>
      </w:pPr>
      <w:r>
        <w:t>The rise of RAP1GAP as a top late-</w:t>
      </w:r>
      <w:proofErr w:type="spellStart"/>
      <w:r>
        <w:t>pseudotime</w:t>
      </w:r>
      <w:proofErr w:type="spellEnd"/>
      <w:r>
        <w:t xml:space="preserve"> gene in AD microglia provides a mechanistic explanation for the amoeboid morphological conversion: RAP1 GTPase activity is required for microglial process extension and the surveying morphology that characterises homeostatic microglia. RAP1GAP inactivation of RAP1 would collapse this morphology, explaining the transition from ramified homeostatic to amoeboid DAM morphology observed in AD tissue. The simultaneous fall of NEGR1 (a neuronal growth regulator involved in microglia-neuron contact at synapses) and </w:t>
      </w:r>
      <w:r>
        <w:lastRenderedPageBreak/>
        <w:t>PDE4B (an anti-inflammatory cAMP regulator) reinforces the interpretation that homeostatic synaptic monitoring function is being dismantled as microglia convert.</w:t>
      </w:r>
    </w:p>
    <w:p w14:paraId="054B87FE" w14:textId="77777777" w:rsidR="009C768D" w:rsidRDefault="00000000">
      <w:pPr>
        <w:pStyle w:val="Heading2"/>
        <w:spacing w:before="280" w:after="120"/>
      </w:pPr>
      <w:r>
        <w:t>4.5 Endothelial and Blood-Brain Barrier Dysfunction</w:t>
      </w:r>
    </w:p>
    <w:p w14:paraId="3DACCB27" w14:textId="44DAC863" w:rsidR="009C768D" w:rsidRDefault="00000000">
      <w:pPr>
        <w:spacing w:before="80" w:after="120" w:line="360" w:lineRule="auto"/>
        <w:jc w:val="both"/>
      </w:pPr>
      <w:r>
        <w:t>The finding that endothelial cells show the highest proportional DEG rate in the dataset (509 of 583 tested genes significantly dysregulated) combined with GSEA showing loss of Cell Junction Organization, Neurotransmitter Transport, Learning or Memory, and Cognition gene sets at the highest significance argues strongly that blood-brain barrier dysfunction in AD is not merely a secondary consequence of neurodegeneration but a cell-autonomously driven transcriptional failure. The downregulation of SLC12A2 (NKCC1), a critical BBB ion cotransporter maintaining the ion gradient necessary for normal cerebrovascular tone, alongside CRYAB (a small heat shock protein protecting endothelial integrity) and tight junction genes, identifies specific molecular vulnerabilities that could contribute to vascular leakage, impaired waste clearance, and altered drug delivery across the BBB in AD.</w:t>
      </w:r>
    </w:p>
    <w:p w14:paraId="28FA73A2" w14:textId="3D4FF451" w:rsidR="009C768D" w:rsidRDefault="00000000">
      <w:pPr>
        <w:spacing w:before="80" w:after="120" w:line="360" w:lineRule="auto"/>
        <w:jc w:val="both"/>
      </w:pPr>
      <w:r>
        <w:t>The appearance of Learning or Memory and Cognition as depleted GO terms in endothelial cells reflects the loss of neurovascular coupling gene programs</w:t>
      </w:r>
      <w:r w:rsidR="005D30AA">
        <w:t xml:space="preserve">, </w:t>
      </w:r>
      <w:r>
        <w:t>the molecular machinery by which cerebral blood flow is matched to local neural activity. Impaired neurovascular coupling is an early feature of AD that is detectable by functional MRI before amyloid PET positivity, suggesting that endothelial transcriptional failure may precede rather than follow amyloid plaque formation. This places BBB dysfunction earlier in the disease cascade than traditionally considered.</w:t>
      </w:r>
    </w:p>
    <w:p w14:paraId="2B32C6E0" w14:textId="77777777" w:rsidR="009C768D" w:rsidRDefault="00000000">
      <w:pPr>
        <w:pStyle w:val="Heading2"/>
        <w:spacing w:before="280" w:after="120"/>
      </w:pPr>
      <w:r>
        <w:t>4.6 Notch-HES5 as a Pan-Glial Therapeutic Target</w:t>
      </w:r>
    </w:p>
    <w:p w14:paraId="56043B9E" w14:textId="5435C056" w:rsidR="009C768D" w:rsidRDefault="00000000">
      <w:pPr>
        <w:spacing w:before="80" w:after="120" w:line="360" w:lineRule="auto"/>
        <w:jc w:val="both"/>
      </w:pPr>
      <w:r>
        <w:t xml:space="preserve">The convergence of HES5 upregulation at late </w:t>
      </w:r>
      <w:proofErr w:type="spellStart"/>
      <w:r>
        <w:t>pseudotime</w:t>
      </w:r>
      <w:proofErr w:type="spellEnd"/>
      <w:r>
        <w:t xml:space="preserve"> in both the astrocyte reactivity and oligodendrocyte differentiation trajectories constitutes the most mechanistically actionable pan-glial finding of this study. HES5 upregulation in astrocytes promotes pro-inflammatory A1-like reactive identity and suppresses return to homeostasis. HES5 upregulation in oligodendrocytes at the COP stage blocks myelination gene expression. Notch pathway inhibition</w:t>
      </w:r>
      <w:r w:rsidR="005D30AA">
        <w:t xml:space="preserve"> </w:t>
      </w:r>
      <w:r>
        <w:t>using gamma-secretase inhibitors at doses specific to Notch processing, or ADAM10 inhibitors</w:t>
      </w:r>
      <w:r w:rsidR="005D30AA">
        <w:t xml:space="preserve"> </w:t>
      </w:r>
      <w:r>
        <w:t>could theoretically simultaneously reduce astrocyte reactivity and restore oligodendrocyte differentiation.</w:t>
      </w:r>
    </w:p>
    <w:p w14:paraId="7B6FF7BC" w14:textId="44ED466E" w:rsidR="009C768D" w:rsidRDefault="00000000">
      <w:pPr>
        <w:spacing w:before="80" w:after="120" w:line="360" w:lineRule="auto"/>
        <w:jc w:val="both"/>
      </w:pPr>
      <w:r>
        <w:t xml:space="preserve">Critically, this would be a glial-targeted intervention distinct from the current therapeutic focus on amyloid and tau. Several Notch inhibitors are in clinical development for oncology indications, providing an existing pharmacological toolkit. However, Notch has pleiotropic roles in vascular biology and gut homeostasis, and intestinal toxicity has limited gamma-secretase inhibitor use in AD previously (in the </w:t>
      </w:r>
      <w:proofErr w:type="spellStart"/>
      <w:r>
        <w:t>Semagacestat</w:t>
      </w:r>
      <w:proofErr w:type="spellEnd"/>
      <w:r>
        <w:t xml:space="preserve"> trial). Cell-type-specific delivery of Notch inhibition potentially using </w:t>
      </w:r>
      <w:r>
        <w:lastRenderedPageBreak/>
        <w:t>OPC-targeted or astrocyte-targeted nanoparticles may be required to realise this therapeutic opportunity.</w:t>
      </w:r>
    </w:p>
    <w:p w14:paraId="117FD140" w14:textId="77777777" w:rsidR="009C768D" w:rsidRDefault="00000000">
      <w:pPr>
        <w:pStyle w:val="Heading2"/>
        <w:spacing w:before="280" w:after="120"/>
      </w:pPr>
      <w:r>
        <w:t>4.7 Limitations</w:t>
      </w:r>
    </w:p>
    <w:p w14:paraId="6F8B31BB" w14:textId="16DD3D44" w:rsidR="009C768D" w:rsidRDefault="00000000">
      <w:pPr>
        <w:spacing w:before="80" w:after="120" w:line="360" w:lineRule="auto"/>
        <w:jc w:val="both"/>
      </w:pPr>
      <w:r>
        <w:t xml:space="preserve">Several limitations of this study should be acknowledged. First, the data are cross-sectional from post-mortem tissue preventing temporal ordering of events. Our </w:t>
      </w:r>
      <w:proofErr w:type="spellStart"/>
      <w:r>
        <w:t>pseudotime</w:t>
      </w:r>
      <w:proofErr w:type="spellEnd"/>
      <w:r>
        <w:t xml:space="preserve"> ordering is a computational inference of state trajectories, not a direct measurement of time. Second, the dataset originates from a single brain region (entorhinal cortex), and findings may not generalise to other affected regions such as the prefrontal cortex or hippocampus, which differ in laminar organisation, cell-type composition, and stage of pathological involvement. Third, snRNA-</w:t>
      </w:r>
      <w:proofErr w:type="spellStart"/>
      <w:r>
        <w:t>seq</w:t>
      </w:r>
      <w:proofErr w:type="spellEnd"/>
      <w:r>
        <w:t xml:space="preserve"> captures nuclear rather than cytoplasmic mRNA, and rapid-turnover cytoplasmic transcripts may be underrepresented. Fourth, the </w:t>
      </w:r>
      <w:proofErr w:type="spellStart"/>
      <w:r>
        <w:t>CellChat</w:t>
      </w:r>
      <w:proofErr w:type="spellEnd"/>
      <w:r>
        <w:t xml:space="preserve"> analysis depends on curated LR databases and may miss novel or poorly annotated interactions. Fifth, the dataset size (32 individuals) is relatively small for a complex disorder with high inter-individual variability, and some rare cell-type comparisons may be underpowered. Future work should validate key findings particularly the SPP1-CD44 microglia-astrocyte axis and HES5 oligodendrocyte trajectory using orthogonal methods including spatial transcriptomics, protein-level validation by immunohistochemistry, and functional perturbation studies in iPSC-derived brain organoids or mouse models with conditional cell-type-specific genetic manipulation.</w:t>
      </w:r>
    </w:p>
    <w:p w14:paraId="49FFB697" w14:textId="77777777" w:rsidR="009C768D" w:rsidRDefault="00000000">
      <w:pPr>
        <w:pStyle w:val="Heading2"/>
        <w:spacing w:before="280" w:after="120"/>
      </w:pPr>
      <w:r>
        <w:t>4.8 Conclusions</w:t>
      </w:r>
    </w:p>
    <w:p w14:paraId="720C88CF" w14:textId="3419D054" w:rsidR="009C768D" w:rsidRDefault="00000000">
      <w:pPr>
        <w:spacing w:before="80" w:after="120" w:line="360" w:lineRule="auto"/>
        <w:jc w:val="both"/>
      </w:pPr>
      <w:r>
        <w:t>This study presents the most comprehensive single-nucleus transcriptomic analysis of the human entorhinal cortex in Alzheimer's disease to date, revealing a deeply interconnected disease circuit that spans all major brain cell types. We identify the SPP1-CD44 microglia-to-astrocyte axis as the key de novo intercellular relay driving astrocyte reactivity; HES5-mediated Notch hyperactivation as a shared pan-glial mechanism simultaneously blocking myelination and amplifying inflammatory identity; the APP-CD74 neuronal signal as a mechanism linking amyloid biology to microglial activation; MHC-I/immune gene induction in Ex_L2_3 neurons as a marker of immune-mediated vulnerability in the most AD-susceptible cortical layer; and BBB transcriptional failure as a cell-autonomous and possibly early-stage pathological event. These findings provide both a conceptual framework for understanding the coordinated cellular pathology of Alzheimer's disease and a set of specific molecular targets particularly Notch-HES5, SPP1-CD44, and APP-CD74</w:t>
      </w:r>
      <w:r w:rsidR="005D30AA">
        <w:t xml:space="preserve"> </w:t>
      </w:r>
      <w:r>
        <w:t>for therapeutic intervention.</w:t>
      </w:r>
    </w:p>
    <w:p w14:paraId="65E951C0" w14:textId="77777777" w:rsidR="009C768D" w:rsidRDefault="009C768D">
      <w:pPr>
        <w:spacing w:after="60"/>
      </w:pPr>
    </w:p>
    <w:p w14:paraId="42F229F6" w14:textId="77777777" w:rsidR="009C768D" w:rsidRDefault="00000000">
      <w:pPr>
        <w:pStyle w:val="Heading1"/>
        <w:pBdr>
          <w:bottom w:val="single" w:sz="8" w:space="4" w:color="2E5FA3"/>
        </w:pBdr>
        <w:spacing w:before="360" w:after="160"/>
      </w:pPr>
      <w:r>
        <w:lastRenderedPageBreak/>
        <w:t>References</w:t>
      </w:r>
    </w:p>
    <w:p w14:paraId="5F409BD4" w14:textId="77777777" w:rsidR="009C768D" w:rsidRDefault="00000000">
      <w:pPr>
        <w:spacing w:before="80" w:after="120" w:line="360" w:lineRule="auto"/>
        <w:jc w:val="both"/>
      </w:pPr>
      <w:r>
        <w:t xml:space="preserve">1. Grubman A, Chew G, Ouyang JF, et al. A single-cell atlas of entorhinal cortex from individuals with Alzheimer's disease reveals cell-type-specific gene expression regulation. Nature Neuroscience. 2019;22(12):2087–2097. </w:t>
      </w:r>
      <w:proofErr w:type="spellStart"/>
      <w:r>
        <w:t>doi</w:t>
      </w:r>
      <w:proofErr w:type="spellEnd"/>
      <w:r>
        <w:t>: 10.1038/s41593-019-0539-4</w:t>
      </w:r>
    </w:p>
    <w:p w14:paraId="4CA70F92" w14:textId="77777777" w:rsidR="009C768D" w:rsidRDefault="00000000">
      <w:pPr>
        <w:spacing w:before="80" w:after="120" w:line="360" w:lineRule="auto"/>
        <w:jc w:val="both"/>
      </w:pPr>
      <w:r>
        <w:t xml:space="preserve">2. </w:t>
      </w:r>
      <w:proofErr w:type="spellStart"/>
      <w:r>
        <w:t>BioProject</w:t>
      </w:r>
      <w:proofErr w:type="spellEnd"/>
      <w:r>
        <w:t xml:space="preserve"> PRJNA577618. NCBI Sequence Read Archive. Available at: https://www.ncbi.nlm.nih.gov/bioproject/PRJNA577618</w:t>
      </w:r>
    </w:p>
    <w:p w14:paraId="400D4209" w14:textId="77777777" w:rsidR="009C768D" w:rsidRDefault="00000000">
      <w:pPr>
        <w:spacing w:before="80" w:after="120" w:line="360" w:lineRule="auto"/>
        <w:jc w:val="both"/>
      </w:pPr>
      <w:r>
        <w:t xml:space="preserve">3. Hao Y, Hao S, Andersen-Nissen E, et al. Integrated analysis of multimodal single-cell data. Cell. 2021;184(13):3573–3587. </w:t>
      </w:r>
      <w:proofErr w:type="spellStart"/>
      <w:r>
        <w:t>doi</w:t>
      </w:r>
      <w:proofErr w:type="spellEnd"/>
      <w:r>
        <w:t>: 10.1016/j.cell.2021.04.048</w:t>
      </w:r>
    </w:p>
    <w:p w14:paraId="57AB1F9F" w14:textId="77777777" w:rsidR="009C768D" w:rsidRDefault="00000000">
      <w:pPr>
        <w:spacing w:before="80" w:after="120" w:line="360" w:lineRule="auto"/>
        <w:jc w:val="both"/>
      </w:pPr>
      <w:r>
        <w:t>4. Love MI, Huber W, Anders S. Moderated estimation of fold change and dispersion for RNA-</w:t>
      </w:r>
      <w:proofErr w:type="spellStart"/>
      <w:r>
        <w:t>seq</w:t>
      </w:r>
      <w:proofErr w:type="spellEnd"/>
      <w:r>
        <w:t xml:space="preserve"> data with DESeq2. Genome Biology. 2014;15:550. </w:t>
      </w:r>
      <w:proofErr w:type="spellStart"/>
      <w:r>
        <w:t>doi</w:t>
      </w:r>
      <w:proofErr w:type="spellEnd"/>
      <w:r>
        <w:t>: 10.1186/s13059-014-0550-8</w:t>
      </w:r>
    </w:p>
    <w:p w14:paraId="5AE8F41F" w14:textId="77777777" w:rsidR="009C768D" w:rsidRDefault="00000000">
      <w:pPr>
        <w:spacing w:before="80" w:after="120" w:line="360" w:lineRule="auto"/>
        <w:jc w:val="both"/>
      </w:pPr>
      <w:r>
        <w:t xml:space="preserve">5. Yu G, Wang LG, Han Y, He QY. </w:t>
      </w:r>
      <w:proofErr w:type="spellStart"/>
      <w:r>
        <w:t>clusterProfiler</w:t>
      </w:r>
      <w:proofErr w:type="spellEnd"/>
      <w:r>
        <w:t>: an R Package for comparing biological themes among gene clusters. OMICS: A Journal of Integrative Biology. 2012;16(5):284–287.</w:t>
      </w:r>
    </w:p>
    <w:p w14:paraId="35EA2F8A" w14:textId="77777777" w:rsidR="009C768D" w:rsidRDefault="00000000">
      <w:pPr>
        <w:spacing w:before="80" w:after="120" w:line="360" w:lineRule="auto"/>
        <w:jc w:val="both"/>
      </w:pPr>
      <w:r>
        <w:t xml:space="preserve">6. Jin S, Guerrero-Juarez CF, Zhang L, et al. Inference and analysis of cell-cell communication using </w:t>
      </w:r>
      <w:proofErr w:type="spellStart"/>
      <w:r>
        <w:t>CellChat</w:t>
      </w:r>
      <w:proofErr w:type="spellEnd"/>
      <w:r>
        <w:t xml:space="preserve">. Nature Communications. 2021;12:1088. </w:t>
      </w:r>
      <w:proofErr w:type="spellStart"/>
      <w:r>
        <w:t>doi</w:t>
      </w:r>
      <w:proofErr w:type="spellEnd"/>
      <w:r>
        <w:t>: 10.1038/s41467-021-21246-9</w:t>
      </w:r>
    </w:p>
    <w:p w14:paraId="742E98A5" w14:textId="77777777" w:rsidR="009C768D" w:rsidRDefault="00000000">
      <w:pPr>
        <w:spacing w:before="80" w:after="120" w:line="360" w:lineRule="auto"/>
        <w:jc w:val="both"/>
      </w:pPr>
      <w:r>
        <w:t xml:space="preserve">7. Cao J, Spielmann M, Qiu X, et al. The single-cell transcriptional landscape of mammalian organogenesis. Nature. 2019;566(7745):496–502. </w:t>
      </w:r>
      <w:proofErr w:type="spellStart"/>
      <w:r>
        <w:t>doi</w:t>
      </w:r>
      <w:proofErr w:type="spellEnd"/>
      <w:r>
        <w:t>: 10.1038/s41586-019-0969-x</w:t>
      </w:r>
    </w:p>
    <w:p w14:paraId="3AA2F823" w14:textId="77777777" w:rsidR="009C768D" w:rsidRDefault="00000000">
      <w:pPr>
        <w:spacing w:before="80" w:after="120" w:line="360" w:lineRule="auto"/>
        <w:jc w:val="both"/>
      </w:pPr>
      <w:r>
        <w:t xml:space="preserve">8. Keren-Shaul H, Spinrad A, Weiner A, et al. A unique microglia type associated with restricting development of Alzheimer's disease. Cell. 2017;169(7):1276–1290. </w:t>
      </w:r>
      <w:proofErr w:type="spellStart"/>
      <w:r>
        <w:t>doi</w:t>
      </w:r>
      <w:proofErr w:type="spellEnd"/>
      <w:r>
        <w:t>: 10.1016/j.cell.2017.05.018</w:t>
      </w:r>
    </w:p>
    <w:p w14:paraId="19163CD8" w14:textId="77777777" w:rsidR="009C768D" w:rsidRDefault="00000000">
      <w:pPr>
        <w:spacing w:before="80" w:after="120" w:line="360" w:lineRule="auto"/>
        <w:jc w:val="both"/>
      </w:pPr>
      <w:r>
        <w:t xml:space="preserve">9. Habib N, McCabe C, Medina S, et al. Disease-associated astrocytes in Alzheimer's disease and aging. Nature Neuroscience. 2020;23(6):701–706. </w:t>
      </w:r>
      <w:proofErr w:type="spellStart"/>
      <w:r>
        <w:t>doi</w:t>
      </w:r>
      <w:proofErr w:type="spellEnd"/>
      <w:r>
        <w:t>: 10.1038/s41593-020-0624-8</w:t>
      </w:r>
    </w:p>
    <w:p w14:paraId="0528F40D" w14:textId="77777777" w:rsidR="009C768D" w:rsidRDefault="00000000">
      <w:pPr>
        <w:spacing w:before="80" w:after="120" w:line="360" w:lineRule="auto"/>
        <w:jc w:val="both"/>
      </w:pPr>
      <w:r>
        <w:t>10. Marques S, Zeisel A, Codeluppi S, et al. Oligodendrocyte heterogeneity in the mouse juvenile and adult central nervous system. Science. 2016;352(6291):1326–1329.</w:t>
      </w:r>
    </w:p>
    <w:p w14:paraId="0F275870" w14:textId="77777777" w:rsidR="009C768D" w:rsidRDefault="00000000">
      <w:pPr>
        <w:spacing w:before="80" w:after="120" w:line="360" w:lineRule="auto"/>
        <w:jc w:val="both"/>
      </w:pPr>
      <w:r>
        <w:t xml:space="preserve">11. Braak H, Braak E. Neuropathological </w:t>
      </w:r>
      <w:proofErr w:type="spellStart"/>
      <w:r>
        <w:t>stageing</w:t>
      </w:r>
      <w:proofErr w:type="spellEnd"/>
      <w:r>
        <w:t xml:space="preserve"> of Alzheimer-related changes. Acta </w:t>
      </w:r>
      <w:proofErr w:type="spellStart"/>
      <w:r>
        <w:t>Neuropathologica</w:t>
      </w:r>
      <w:proofErr w:type="spellEnd"/>
      <w:r>
        <w:t>. 1991;82:239–259.</w:t>
      </w:r>
    </w:p>
    <w:p w14:paraId="73787FA0" w14:textId="77777777" w:rsidR="009C768D" w:rsidRDefault="00000000">
      <w:pPr>
        <w:spacing w:before="80" w:after="120" w:line="360" w:lineRule="auto"/>
        <w:jc w:val="both"/>
      </w:pPr>
      <w:r>
        <w:t xml:space="preserve">12. Mathys H, Davila-Velderrain J, Peng Z, et al. Single-cell transcriptomic analysis of Alzheimer's disease. Nature. 2019;570(7761):332–337. </w:t>
      </w:r>
      <w:proofErr w:type="spellStart"/>
      <w:r>
        <w:t>doi</w:t>
      </w:r>
      <w:proofErr w:type="spellEnd"/>
      <w:r>
        <w:t>: 10.1038/s41586-019-1195-2</w:t>
      </w:r>
    </w:p>
    <w:p w14:paraId="70C50D24" w14:textId="77777777" w:rsidR="009C768D" w:rsidRDefault="00000000">
      <w:pPr>
        <w:spacing w:before="80" w:after="120" w:line="360" w:lineRule="auto"/>
        <w:jc w:val="both"/>
      </w:pPr>
      <w:r>
        <w:t>13. Leng K, Li E, Eser R, et al. Molecular characterization of selectively vulnerable neurons in Alzheimer's disease. Nature Neuroscience. 2021;24(2):276–287.</w:t>
      </w:r>
    </w:p>
    <w:p w14:paraId="52960D32" w14:textId="77777777" w:rsidR="009C768D" w:rsidRDefault="00000000">
      <w:pPr>
        <w:spacing w:before="80" w:after="120" w:line="360" w:lineRule="auto"/>
        <w:jc w:val="both"/>
      </w:pPr>
      <w:r>
        <w:lastRenderedPageBreak/>
        <w:t xml:space="preserve">14. Sala Frigerio C, Wolfs L, </w:t>
      </w:r>
      <w:proofErr w:type="spellStart"/>
      <w:r>
        <w:t>Fattorelli</w:t>
      </w:r>
      <w:proofErr w:type="spellEnd"/>
      <w:r>
        <w:t xml:space="preserve"> N, et al. The major risk factors for Alzheimer's disease: age, sex, and genes modulate the microglia response to Abeta plaques. Cell Reports. 2019;27(4):1293–1306.</w:t>
      </w:r>
    </w:p>
    <w:p w14:paraId="61851F63" w14:textId="77777777" w:rsidR="009C768D" w:rsidRDefault="00000000">
      <w:pPr>
        <w:spacing w:before="80" w:after="120" w:line="360" w:lineRule="auto"/>
        <w:jc w:val="both"/>
      </w:pPr>
      <w:r>
        <w:t xml:space="preserve">15. Gibson EM, Purger D, Mount CW, et al. Neuronal activity promotes </w:t>
      </w:r>
      <w:proofErr w:type="spellStart"/>
      <w:r>
        <w:t>oligodendrogenesis</w:t>
      </w:r>
      <w:proofErr w:type="spellEnd"/>
      <w:r>
        <w:t xml:space="preserve"> and adaptive myelination in the mammalian brain. Science. 2014;344(6183):1252304.</w:t>
      </w:r>
    </w:p>
    <w:p w14:paraId="4B120C34" w14:textId="77777777" w:rsidR="009C768D" w:rsidRDefault="009C768D">
      <w:pPr>
        <w:spacing w:after="60"/>
      </w:pPr>
    </w:p>
    <w:p w14:paraId="0E6B0EAB" w14:textId="77777777" w:rsidR="009C768D" w:rsidRDefault="00000000">
      <w:pPr>
        <w:pStyle w:val="Heading1"/>
        <w:pBdr>
          <w:bottom w:val="single" w:sz="8" w:space="4" w:color="2E5FA3"/>
        </w:pBdr>
        <w:spacing w:before="360" w:after="160"/>
      </w:pPr>
      <w:r>
        <w:t>Supplementary: Key Findings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768D" w14:paraId="5F61528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C1E7F8D" w14:textId="77777777" w:rsidR="009C768D" w:rsidRDefault="00000000">
            <w:r>
              <w:rPr>
                <w:b/>
                <w:bCs/>
                <w:color w:val="FFFFFF"/>
                <w:sz w:val="20"/>
                <w:szCs w:val="20"/>
              </w:rPr>
              <w:t>Cell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9101E5C" w14:textId="77777777" w:rsidR="009C768D" w:rsidRDefault="00000000">
            <w:r>
              <w:rPr>
                <w:b/>
                <w:bCs/>
                <w:color w:val="FFFFFF"/>
                <w:sz w:val="20"/>
                <w:szCs w:val="20"/>
              </w:rPr>
              <w:t>Key DEGs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A699CF7" w14:textId="77777777" w:rsidR="009C768D" w:rsidRDefault="00000000">
            <w:r>
              <w:rPr>
                <w:b/>
                <w:bCs/>
                <w:color w:val="FFFFFF"/>
                <w:sz w:val="20"/>
                <w:szCs w:val="20"/>
              </w:rPr>
              <w:t>GSEA Theme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0B79F26" w14:textId="77777777" w:rsidR="009C768D" w:rsidRDefault="00000000">
            <w:r>
              <w:rPr>
                <w:b/>
                <w:bCs/>
                <w:color w:val="FFFFFF"/>
                <w:sz w:val="20"/>
                <w:szCs w:val="20"/>
              </w:rPr>
              <w:t>Biological Interpretation</w:t>
            </w:r>
          </w:p>
        </w:tc>
      </w:tr>
      <w:tr w:rsidR="009C768D" w14:paraId="2E1E86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33A85AE4" w14:textId="77777777" w:rsidR="009C768D" w:rsidRDefault="00000000">
            <w:r>
              <w:rPr>
                <w:color w:val="111827"/>
                <w:sz w:val="20"/>
                <w:szCs w:val="20"/>
              </w:rPr>
              <w:t>Ex_L2_3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B39FBD" w14:textId="77777777" w:rsidR="009C768D" w:rsidRDefault="00000000">
            <w:r>
              <w:rPr>
                <w:color w:val="111827"/>
                <w:sz w:val="20"/>
                <w:szCs w:val="20"/>
              </w:rPr>
              <w:t>IRF1↑, BCL2↓, CRY1↓, NPTX2↓</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7203F75D" w14:textId="77777777" w:rsidR="009C768D" w:rsidRDefault="00000000">
            <w:r>
              <w:rPr>
                <w:color w:val="111827"/>
                <w:sz w:val="20"/>
                <w:szCs w:val="20"/>
              </w:rPr>
              <w:t>Adaptive immune / NK cell immunity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D35A598" w14:textId="77777777" w:rsidR="009C768D" w:rsidRDefault="00000000">
            <w:r>
              <w:rPr>
                <w:color w:val="111827"/>
                <w:sz w:val="20"/>
                <w:szCs w:val="20"/>
              </w:rPr>
              <w:t>MHC-I induction; immune-targeted elimination; most vulnerable layer</w:t>
            </w:r>
          </w:p>
        </w:tc>
      </w:tr>
      <w:tr w:rsidR="009C768D" w14:paraId="3CFF82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642CAE42" w14:textId="77777777" w:rsidR="009C768D" w:rsidRDefault="00000000">
            <w:r>
              <w:rPr>
                <w:color w:val="111827"/>
                <w:sz w:val="20"/>
                <w:szCs w:val="20"/>
              </w:rPr>
              <w:t>Ex_L5_6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12615D6" w14:textId="77777777" w:rsidR="009C768D" w:rsidRDefault="00000000">
            <w:r>
              <w:rPr>
                <w:color w:val="111827"/>
                <w:sz w:val="20"/>
                <w:szCs w:val="20"/>
              </w:rPr>
              <w:t>RELN↓, KCNB2↓, TRPC6↓</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4D206FE2" w14:textId="77777777" w:rsidR="009C768D" w:rsidRDefault="00000000">
            <w:r>
              <w:rPr>
                <w:color w:val="111827"/>
                <w:sz w:val="20"/>
                <w:szCs w:val="20"/>
              </w:rPr>
              <w:t>ER stress / protein catabolism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0711354" w14:textId="77777777" w:rsidR="009C768D" w:rsidRDefault="00000000">
            <w:r>
              <w:rPr>
                <w:color w:val="111827"/>
                <w:sz w:val="20"/>
                <w:szCs w:val="20"/>
              </w:rPr>
              <w:t>Metabolic/proteotoxic stress; circadian dysregulation</w:t>
            </w:r>
          </w:p>
        </w:tc>
      </w:tr>
      <w:tr w:rsidR="009C768D" w14:paraId="214BA9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31476500" w14:textId="77777777" w:rsidR="009C768D" w:rsidRDefault="00000000">
            <w:proofErr w:type="spellStart"/>
            <w:r>
              <w:rPr>
                <w:color w:val="111827"/>
                <w:sz w:val="20"/>
                <w:szCs w:val="20"/>
              </w:rPr>
              <w:t>In_SST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AFA90C3" w14:textId="77777777" w:rsidR="009C768D" w:rsidRDefault="00000000">
            <w:r>
              <w:rPr>
                <w:color w:val="111827"/>
                <w:sz w:val="20"/>
                <w:szCs w:val="20"/>
              </w:rPr>
              <w:t>HOMER1↑, CAMK2A↑, NPY↓</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19904190" w14:textId="77777777" w:rsidR="009C768D" w:rsidRDefault="00000000">
            <w:r>
              <w:rPr>
                <w:color w:val="111827"/>
                <w:sz w:val="20"/>
                <w:szCs w:val="20"/>
              </w:rPr>
              <w:t>RNA metabolic process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E2FF80B" w14:textId="77777777" w:rsidR="009C768D" w:rsidRDefault="00000000">
            <w:r>
              <w:rPr>
                <w:color w:val="111827"/>
                <w:sz w:val="20"/>
                <w:szCs w:val="20"/>
              </w:rPr>
              <w:t>Compensatory hyperactivation; identity marker loss</w:t>
            </w:r>
          </w:p>
        </w:tc>
      </w:tr>
      <w:tr w:rsidR="009C768D" w14:paraId="0B71D1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6EBE9F60" w14:textId="77777777" w:rsidR="009C768D" w:rsidRDefault="00000000">
            <w:proofErr w:type="spellStart"/>
            <w:r>
              <w:rPr>
                <w:color w:val="111827"/>
                <w:sz w:val="20"/>
                <w:szCs w:val="20"/>
              </w:rPr>
              <w:t>In_PVALB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1F507A9" w14:textId="77777777" w:rsidR="009C768D" w:rsidRDefault="00000000">
            <w:r>
              <w:rPr>
                <w:color w:val="111827"/>
                <w:sz w:val="20"/>
                <w:szCs w:val="20"/>
              </w:rPr>
              <w:t>GRIK1↓, ROBO1↓, HRH1↑</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50339385" w14:textId="77777777" w:rsidR="009C768D" w:rsidRDefault="00000000">
            <w:r>
              <w:rPr>
                <w:color w:val="111827"/>
                <w:sz w:val="20"/>
                <w:szCs w:val="20"/>
              </w:rPr>
              <w:t>Mixed; OXPHOS ↓ (inhibitory class)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5AF26D6" w14:textId="77777777" w:rsidR="009C768D" w:rsidRDefault="00000000">
            <w:r>
              <w:rPr>
                <w:color w:val="111827"/>
                <w:sz w:val="20"/>
                <w:szCs w:val="20"/>
              </w:rPr>
              <w:t>Fast-spiking interneuron dysfunction; bioenergetic failure</w:t>
            </w:r>
          </w:p>
        </w:tc>
      </w:tr>
      <w:tr w:rsidR="009C768D" w14:paraId="7207D2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2881316B" w14:textId="77777777" w:rsidR="009C768D" w:rsidRDefault="00000000">
            <w:r>
              <w:rPr>
                <w:color w:val="111827"/>
                <w:sz w:val="20"/>
                <w:szCs w:val="20"/>
              </w:rPr>
              <w:t>Astrocytes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F51A0DF" w14:textId="77777777" w:rsidR="009C768D" w:rsidRDefault="00000000">
            <w:r>
              <w:rPr>
                <w:color w:val="111827"/>
                <w:sz w:val="20"/>
                <w:szCs w:val="20"/>
              </w:rPr>
              <w:t>HES5↑, GBP2↑, CHI3L2↑, NRXN1↓</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79958464" w14:textId="77777777" w:rsidR="009C768D" w:rsidRDefault="00000000">
            <w:r>
              <w:rPr>
                <w:color w:val="111827"/>
                <w:sz w:val="20"/>
                <w:szCs w:val="20"/>
              </w:rPr>
              <w:t>Innate immune activation ↑ (NES 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804FA6B" w14:textId="77777777" w:rsidR="009C768D" w:rsidRDefault="00000000">
            <w:r>
              <w:rPr>
                <w:color w:val="111827"/>
                <w:sz w:val="20"/>
                <w:szCs w:val="20"/>
              </w:rPr>
              <w:t>Complete A1-like reactive reprogramming driven by Notch/SPP1-CD44</w:t>
            </w:r>
          </w:p>
        </w:tc>
      </w:tr>
      <w:tr w:rsidR="009C768D" w14:paraId="076B84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3113492B" w14:textId="77777777" w:rsidR="009C768D" w:rsidRDefault="00000000">
            <w:proofErr w:type="spellStart"/>
            <w:r>
              <w:rPr>
                <w:color w:val="111827"/>
                <w:sz w:val="20"/>
                <w:szCs w:val="20"/>
              </w:rPr>
              <w:t>Astrocytes_Reactive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BEAD2DB" w14:textId="77777777" w:rsidR="009C768D" w:rsidRDefault="00000000">
            <w:r>
              <w:rPr>
                <w:color w:val="111827"/>
                <w:sz w:val="20"/>
                <w:szCs w:val="20"/>
              </w:rPr>
              <w:t>CCL2↑, CXCL2↑, SOX2↑, NRXN1↓</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0AA80C67" w14:textId="77777777" w:rsidR="009C768D" w:rsidRDefault="00000000">
            <w:r>
              <w:rPr>
                <w:color w:val="111827"/>
                <w:sz w:val="20"/>
                <w:szCs w:val="20"/>
              </w:rPr>
              <w:t>Protein folding / misfolded protein response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F09405" w14:textId="77777777" w:rsidR="009C768D" w:rsidRDefault="00000000">
            <w:r>
              <w:rPr>
                <w:color w:val="111827"/>
                <w:sz w:val="20"/>
                <w:szCs w:val="20"/>
              </w:rPr>
              <w:t>Front-line amyloid/tau sensors; chemokine secretors</w:t>
            </w:r>
          </w:p>
        </w:tc>
      </w:tr>
      <w:tr w:rsidR="009C768D" w14:paraId="1B3E28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42C2E4D7" w14:textId="77777777" w:rsidR="009C768D" w:rsidRDefault="00000000">
            <w:r>
              <w:rPr>
                <w:color w:val="111827"/>
                <w:sz w:val="20"/>
                <w:szCs w:val="20"/>
              </w:rPr>
              <w:t>Microglia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9D1F741" w14:textId="77777777" w:rsidR="009C768D" w:rsidRDefault="00000000">
            <w:r>
              <w:rPr>
                <w:color w:val="111827"/>
                <w:sz w:val="20"/>
                <w:szCs w:val="20"/>
              </w:rPr>
              <w:t>SPP1↑, HSPA5↑, FCGR3A↓, CLU↓</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170748B7" w14:textId="77777777" w:rsidR="009C768D" w:rsidRDefault="00000000">
            <w:r>
              <w:rPr>
                <w:color w:val="111827"/>
                <w:sz w:val="20"/>
                <w:szCs w:val="20"/>
              </w:rPr>
              <w:t>Synaptic gene programs ↓ (NES -2.6, q~8)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D7D4EA1" w14:textId="77777777" w:rsidR="009C768D" w:rsidRDefault="00000000">
            <w:r>
              <w:rPr>
                <w:color w:val="111827"/>
                <w:sz w:val="20"/>
                <w:szCs w:val="20"/>
              </w:rPr>
              <w:t xml:space="preserve">DAM transition; homeostatic </w:t>
            </w:r>
            <w:proofErr w:type="spellStart"/>
            <w:r>
              <w:rPr>
                <w:color w:val="111827"/>
                <w:sz w:val="20"/>
                <w:szCs w:val="20"/>
              </w:rPr>
              <w:t>neurosupport</w:t>
            </w:r>
            <w:proofErr w:type="spellEnd"/>
            <w:r>
              <w:rPr>
                <w:color w:val="111827"/>
                <w:sz w:val="20"/>
                <w:szCs w:val="20"/>
              </w:rPr>
              <w:t xml:space="preserve"> lost; SPP1→astrocyte relay</w:t>
            </w:r>
          </w:p>
        </w:tc>
      </w:tr>
      <w:tr w:rsidR="009C768D" w14:paraId="3005EC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3A97BD82" w14:textId="77777777" w:rsidR="009C768D" w:rsidRDefault="00000000">
            <w:r>
              <w:rPr>
                <w:color w:val="111827"/>
                <w:sz w:val="20"/>
                <w:szCs w:val="20"/>
              </w:rPr>
              <w:t>OPCs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A4DED6E" w14:textId="77777777" w:rsidR="009C768D" w:rsidRDefault="00000000">
            <w:r>
              <w:rPr>
                <w:color w:val="111827"/>
                <w:sz w:val="20"/>
                <w:szCs w:val="20"/>
              </w:rPr>
              <w:t>APOE↑, HES5↑, CSPG4↓, NRXN3↓</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4A9A808F" w14:textId="77777777" w:rsidR="009C768D" w:rsidRDefault="00000000">
            <w:r>
              <w:rPr>
                <w:color w:val="111827"/>
                <w:sz w:val="20"/>
                <w:szCs w:val="20"/>
              </w:rPr>
              <w:t>NF-</w:t>
            </w:r>
            <w:proofErr w:type="spellStart"/>
            <w:r>
              <w:rPr>
                <w:color w:val="111827"/>
                <w:sz w:val="20"/>
                <w:szCs w:val="20"/>
              </w:rPr>
              <w:t>κB</w:t>
            </w:r>
            <w:proofErr w:type="spellEnd"/>
            <w:r>
              <w:rPr>
                <w:color w:val="111827"/>
                <w:sz w:val="20"/>
                <w:szCs w:val="20"/>
              </w:rPr>
              <w:t xml:space="preserve"> / cytokine production ↑; synaptic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442C17F" w14:textId="77777777" w:rsidR="009C768D" w:rsidRDefault="00000000">
            <w:r>
              <w:rPr>
                <w:color w:val="111827"/>
                <w:sz w:val="20"/>
                <w:szCs w:val="20"/>
              </w:rPr>
              <w:t>Identity loss; NF-</w:t>
            </w:r>
            <w:proofErr w:type="spellStart"/>
            <w:r>
              <w:rPr>
                <w:color w:val="111827"/>
                <w:sz w:val="20"/>
                <w:szCs w:val="20"/>
              </w:rPr>
              <w:t>κB</w:t>
            </w:r>
            <w:proofErr w:type="spellEnd"/>
            <w:r>
              <w:rPr>
                <w:color w:val="111827"/>
                <w:sz w:val="20"/>
                <w:szCs w:val="20"/>
              </w:rPr>
              <w:t xml:space="preserve"> differentiation block; proliferating but stalled</w:t>
            </w:r>
          </w:p>
        </w:tc>
      </w:tr>
      <w:tr w:rsidR="009C768D" w14:paraId="59CF9D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6E5ECDA8" w14:textId="77777777" w:rsidR="009C768D" w:rsidRDefault="00000000">
            <w:r>
              <w:rPr>
                <w:color w:val="111827"/>
                <w:sz w:val="20"/>
                <w:szCs w:val="20"/>
              </w:rPr>
              <w:t>COPs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04A183" w14:textId="77777777" w:rsidR="009C768D" w:rsidRDefault="00000000">
            <w:r>
              <w:rPr>
                <w:color w:val="111827"/>
                <w:sz w:val="20"/>
                <w:szCs w:val="20"/>
              </w:rPr>
              <w:t>SPP1↑, NFKBIA↑, LINGO3↓, GRIN2A↓</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3AB5059E" w14:textId="77777777" w:rsidR="009C768D" w:rsidRDefault="00000000">
            <w:r>
              <w:rPr>
                <w:color w:val="111827"/>
                <w:sz w:val="20"/>
                <w:szCs w:val="20"/>
              </w:rPr>
              <w:t>Synaptic gene programs ↓ (NES -3.2, strongest)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DA54EDF" w14:textId="77777777" w:rsidR="009C768D" w:rsidRDefault="00000000">
            <w:r>
              <w:rPr>
                <w:color w:val="111827"/>
                <w:sz w:val="20"/>
                <w:szCs w:val="20"/>
              </w:rPr>
              <w:t xml:space="preserve">Maximum differentiation block; </w:t>
            </w:r>
            <w:r>
              <w:rPr>
                <w:color w:val="111827"/>
                <w:sz w:val="20"/>
                <w:szCs w:val="20"/>
              </w:rPr>
              <w:lastRenderedPageBreak/>
              <w:t>lost axonal activity sensing</w:t>
            </w:r>
          </w:p>
        </w:tc>
      </w:tr>
      <w:tr w:rsidR="009C768D" w14:paraId="73396E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0CED2970" w14:textId="77777777" w:rsidR="009C768D" w:rsidRDefault="00000000">
            <w:r>
              <w:rPr>
                <w:color w:val="111827"/>
                <w:sz w:val="20"/>
                <w:szCs w:val="20"/>
              </w:rPr>
              <w:lastRenderedPageBreak/>
              <w:t>Oligodendrocytes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15B7373" w14:textId="77777777" w:rsidR="009C768D" w:rsidRDefault="00000000">
            <w:r>
              <w:rPr>
                <w:color w:val="111827"/>
                <w:sz w:val="20"/>
                <w:szCs w:val="20"/>
              </w:rPr>
              <w:t>APOE↑, LMNA↑, LINGO3↓, GADD45B↑</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2C68BA60" w14:textId="77777777" w:rsidR="009C768D" w:rsidRDefault="00000000">
            <w:r>
              <w:rPr>
                <w:color w:val="111827"/>
                <w:sz w:val="20"/>
                <w:szCs w:val="20"/>
              </w:rPr>
              <w:t>Synaptic programs ↓; cell cycle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8C2C62C" w14:textId="77777777" w:rsidR="009C768D" w:rsidRDefault="00000000">
            <w:r>
              <w:rPr>
                <w:color w:val="111827"/>
                <w:sz w:val="20"/>
                <w:szCs w:val="20"/>
              </w:rPr>
              <w:t>Axon-communication failure; aberrant cell cycle re-entry; APOE↑ lipid burden</w:t>
            </w:r>
          </w:p>
        </w:tc>
      </w:tr>
      <w:tr w:rsidR="009C768D" w14:paraId="538313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7D4D0A21" w14:textId="77777777" w:rsidR="009C768D" w:rsidRDefault="00000000">
            <w:r>
              <w:rPr>
                <w:color w:val="111827"/>
                <w:sz w:val="20"/>
                <w:szCs w:val="20"/>
              </w:rPr>
              <w:t>Endothelial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F8A947E" w14:textId="77777777" w:rsidR="009C768D" w:rsidRDefault="00000000">
            <w:r>
              <w:rPr>
                <w:color w:val="111827"/>
                <w:sz w:val="20"/>
                <w:szCs w:val="20"/>
              </w:rPr>
              <w:t>SLC12A2↓, CRYAB↓, FGF14↓, HSPA1A↑</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526F6D08" w14:textId="77777777" w:rsidR="009C768D" w:rsidRDefault="00000000">
            <w:r>
              <w:rPr>
                <w:color w:val="111827"/>
                <w:sz w:val="20"/>
                <w:szCs w:val="20"/>
              </w:rPr>
              <w:t>Learning/memory ↓; cell junction ↓; protein folding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7B69BC8" w14:textId="77777777" w:rsidR="009C768D" w:rsidRDefault="00000000">
            <w:r>
              <w:rPr>
                <w:color w:val="111827"/>
                <w:sz w:val="20"/>
                <w:szCs w:val="20"/>
              </w:rPr>
              <w:t>BBB integrity failure; neurovascular uncoupling; possibly early-stage event</w:t>
            </w:r>
          </w:p>
        </w:tc>
      </w:tr>
      <w:tr w:rsidR="009C768D" w14:paraId="41C793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6686AF61" w14:textId="77777777" w:rsidR="009C768D" w:rsidRDefault="00000000">
            <w:r>
              <w:rPr>
                <w:color w:val="111827"/>
                <w:sz w:val="20"/>
                <w:szCs w:val="20"/>
              </w:rPr>
              <w:t>Cajal-</w:t>
            </w:r>
            <w:proofErr w:type="spellStart"/>
            <w:r>
              <w:rPr>
                <w:color w:val="111827"/>
                <w:sz w:val="20"/>
                <w:szCs w:val="20"/>
              </w:rPr>
              <w:t>Retzius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803055D" w14:textId="77777777" w:rsidR="009C768D" w:rsidRDefault="00000000">
            <w:r>
              <w:rPr>
                <w:color w:val="111827"/>
                <w:sz w:val="20"/>
                <w:szCs w:val="20"/>
              </w:rPr>
              <w:t>SNCA↑, DAB1↓, ROCK2↑</w:t>
            </w:r>
          </w:p>
        </w:tc>
        <w:tc>
          <w:tcPr>
            <w:tcW w:w="234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vAlign w:val="center"/>
          </w:tcPr>
          <w:p w14:paraId="06F1948F" w14:textId="77777777" w:rsidR="009C768D" w:rsidRDefault="00000000">
            <w:r>
              <w:rPr>
                <w:color w:val="111827"/>
                <w:sz w:val="20"/>
                <w:szCs w:val="20"/>
              </w:rPr>
              <w:t>Near-complete transcriptional reorganisation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CDCE845" w14:textId="77777777" w:rsidR="009C768D" w:rsidRDefault="00000000">
            <w:r>
              <w:rPr>
                <w:color w:val="111827"/>
                <w:sz w:val="20"/>
                <w:szCs w:val="20"/>
              </w:rPr>
              <w:t>Reelin pathway disruption; alpha-synuclein induction; cytoskeletal stress</w:t>
            </w:r>
          </w:p>
        </w:tc>
      </w:tr>
    </w:tbl>
    <w:p w14:paraId="206CE04E" w14:textId="77777777" w:rsidR="009C768D" w:rsidRDefault="009C768D">
      <w:pPr>
        <w:spacing w:after="60"/>
      </w:pPr>
    </w:p>
    <w:sectPr w:rsidR="009C768D">
      <w:footerReference w:type="default" r:id="rId8"/>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B1D6" w14:textId="77777777" w:rsidR="00165918" w:rsidRDefault="00165918">
      <w:r>
        <w:separator/>
      </w:r>
    </w:p>
  </w:endnote>
  <w:endnote w:type="continuationSeparator" w:id="0">
    <w:p w14:paraId="345A40A6" w14:textId="77777777" w:rsidR="00165918" w:rsidRDefault="0016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65E0" w14:textId="2D560B1E" w:rsidR="009C768D" w:rsidRDefault="00C2458E">
    <w:pPr>
      <w:jc w:val="center"/>
    </w:pPr>
    <w:r>
      <w:rPr>
        <w:color w:val="6B7280"/>
        <w:sz w:val="18"/>
        <w:szCs w:val="18"/>
      </w:rPr>
      <w:t>Chopra</w:t>
    </w:r>
    <w:r w:rsidR="00000000">
      <w:rPr>
        <w:color w:val="6B7280"/>
        <w:sz w:val="18"/>
        <w:szCs w:val="18"/>
      </w:rPr>
      <w:t xml:space="preserve"> &amp; </w:t>
    </w:r>
    <w:proofErr w:type="spellStart"/>
    <w:r>
      <w:rPr>
        <w:color w:val="6B7280"/>
        <w:sz w:val="18"/>
        <w:szCs w:val="18"/>
      </w:rPr>
      <w:t>Garemilla</w:t>
    </w:r>
    <w:proofErr w:type="spellEnd"/>
    <w:r>
      <w:rPr>
        <w:color w:val="6B7280"/>
        <w:sz w:val="18"/>
        <w:szCs w:val="18"/>
      </w:rPr>
      <w:t xml:space="preserve"> </w:t>
    </w:r>
    <w:r w:rsidR="00000000">
      <w:rPr>
        <w:color w:val="6B7280"/>
        <w:sz w:val="18"/>
        <w:szCs w:val="18"/>
      </w:rPr>
      <w:t>| snRNA-</w:t>
    </w:r>
    <w:proofErr w:type="spellStart"/>
    <w:r w:rsidR="00000000">
      <w:rPr>
        <w:color w:val="6B7280"/>
        <w:sz w:val="18"/>
        <w:szCs w:val="18"/>
      </w:rPr>
      <w:t>seq</w:t>
    </w:r>
    <w:proofErr w:type="spellEnd"/>
    <w:r w:rsidR="00000000">
      <w:rPr>
        <w:color w:val="6B7280"/>
        <w:sz w:val="18"/>
        <w:szCs w:val="18"/>
      </w:rPr>
      <w:t xml:space="preserve"> Alzheimer's Disease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9B0C" w14:textId="77777777" w:rsidR="00165918" w:rsidRDefault="00165918">
      <w:r>
        <w:separator/>
      </w:r>
    </w:p>
  </w:footnote>
  <w:footnote w:type="continuationSeparator" w:id="0">
    <w:p w14:paraId="31BFBEB4" w14:textId="77777777" w:rsidR="00165918" w:rsidRDefault="001659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6EB1"/>
    <w:multiLevelType w:val="hybridMultilevel"/>
    <w:tmpl w:val="82E4ED24"/>
    <w:lvl w:ilvl="0" w:tplc="228256AE">
      <w:start w:val="1"/>
      <w:numFmt w:val="bullet"/>
      <w:lvlText w:val="●"/>
      <w:lvlJc w:val="left"/>
      <w:pPr>
        <w:ind w:left="720" w:hanging="360"/>
      </w:pPr>
    </w:lvl>
    <w:lvl w:ilvl="1" w:tplc="B08A4448">
      <w:start w:val="1"/>
      <w:numFmt w:val="bullet"/>
      <w:lvlText w:val="○"/>
      <w:lvlJc w:val="left"/>
      <w:pPr>
        <w:ind w:left="1440" w:hanging="360"/>
      </w:pPr>
    </w:lvl>
    <w:lvl w:ilvl="2" w:tplc="E55A3316">
      <w:start w:val="1"/>
      <w:numFmt w:val="bullet"/>
      <w:lvlText w:val="■"/>
      <w:lvlJc w:val="left"/>
      <w:pPr>
        <w:ind w:left="2160" w:hanging="360"/>
      </w:pPr>
    </w:lvl>
    <w:lvl w:ilvl="3" w:tplc="599C45F2">
      <w:start w:val="1"/>
      <w:numFmt w:val="bullet"/>
      <w:lvlText w:val="●"/>
      <w:lvlJc w:val="left"/>
      <w:pPr>
        <w:ind w:left="2880" w:hanging="360"/>
      </w:pPr>
    </w:lvl>
    <w:lvl w:ilvl="4" w:tplc="AF9441D8">
      <w:start w:val="1"/>
      <w:numFmt w:val="bullet"/>
      <w:lvlText w:val="○"/>
      <w:lvlJc w:val="left"/>
      <w:pPr>
        <w:ind w:left="3600" w:hanging="360"/>
      </w:pPr>
    </w:lvl>
    <w:lvl w:ilvl="5" w:tplc="7FAC6116">
      <w:start w:val="1"/>
      <w:numFmt w:val="bullet"/>
      <w:lvlText w:val="■"/>
      <w:lvlJc w:val="left"/>
      <w:pPr>
        <w:ind w:left="4320" w:hanging="360"/>
      </w:pPr>
    </w:lvl>
    <w:lvl w:ilvl="6" w:tplc="0164B5EA">
      <w:start w:val="1"/>
      <w:numFmt w:val="bullet"/>
      <w:lvlText w:val="●"/>
      <w:lvlJc w:val="left"/>
      <w:pPr>
        <w:ind w:left="5040" w:hanging="360"/>
      </w:pPr>
    </w:lvl>
    <w:lvl w:ilvl="7" w:tplc="643A945C">
      <w:start w:val="1"/>
      <w:numFmt w:val="bullet"/>
      <w:lvlText w:val="●"/>
      <w:lvlJc w:val="left"/>
      <w:pPr>
        <w:ind w:left="5760" w:hanging="360"/>
      </w:pPr>
    </w:lvl>
    <w:lvl w:ilvl="8" w:tplc="3208C5F8">
      <w:start w:val="1"/>
      <w:numFmt w:val="bullet"/>
      <w:lvlText w:val="●"/>
      <w:lvlJc w:val="left"/>
      <w:pPr>
        <w:ind w:left="6480" w:hanging="360"/>
      </w:pPr>
    </w:lvl>
  </w:abstractNum>
  <w:abstractNum w:abstractNumId="1" w15:restartNumberingAfterBreak="0">
    <w:nsid w:val="652C22F3"/>
    <w:multiLevelType w:val="hybridMultilevel"/>
    <w:tmpl w:val="1ACEA656"/>
    <w:lvl w:ilvl="0" w:tplc="C0D8BA28">
      <w:start w:val="1"/>
      <w:numFmt w:val="bullet"/>
      <w:lvlText w:val="•"/>
      <w:lvlJc w:val="left"/>
      <w:pPr>
        <w:ind w:left="720" w:hanging="360"/>
      </w:pPr>
    </w:lvl>
    <w:lvl w:ilvl="1" w:tplc="35E4B490">
      <w:numFmt w:val="decimal"/>
      <w:lvlText w:val=""/>
      <w:lvlJc w:val="left"/>
    </w:lvl>
    <w:lvl w:ilvl="2" w:tplc="881E7116">
      <w:numFmt w:val="decimal"/>
      <w:lvlText w:val=""/>
      <w:lvlJc w:val="left"/>
    </w:lvl>
    <w:lvl w:ilvl="3" w:tplc="B2FE704E">
      <w:numFmt w:val="decimal"/>
      <w:lvlText w:val=""/>
      <w:lvlJc w:val="left"/>
    </w:lvl>
    <w:lvl w:ilvl="4" w:tplc="EF88FEF8">
      <w:numFmt w:val="decimal"/>
      <w:lvlText w:val=""/>
      <w:lvlJc w:val="left"/>
    </w:lvl>
    <w:lvl w:ilvl="5" w:tplc="FE386A12">
      <w:numFmt w:val="decimal"/>
      <w:lvlText w:val=""/>
      <w:lvlJc w:val="left"/>
    </w:lvl>
    <w:lvl w:ilvl="6" w:tplc="8F4E1EDA">
      <w:numFmt w:val="decimal"/>
      <w:lvlText w:val=""/>
      <w:lvlJc w:val="left"/>
    </w:lvl>
    <w:lvl w:ilvl="7" w:tplc="FD66CC10">
      <w:numFmt w:val="decimal"/>
      <w:lvlText w:val=""/>
      <w:lvlJc w:val="left"/>
    </w:lvl>
    <w:lvl w:ilvl="8" w:tplc="1F5093A4">
      <w:numFmt w:val="decimal"/>
      <w:lvlText w:val=""/>
      <w:lvlJc w:val="left"/>
    </w:lvl>
  </w:abstractNum>
  <w:num w:numId="1" w16cid:durableId="1377656426">
    <w:abstractNumId w:val="0"/>
    <w:lvlOverride w:ilvl="0">
      <w:startOverride w:val="1"/>
    </w:lvlOverride>
  </w:num>
  <w:num w:numId="2" w16cid:durableId="20424338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68D"/>
    <w:rsid w:val="00165918"/>
    <w:rsid w:val="005D30AA"/>
    <w:rsid w:val="009C768D"/>
    <w:rsid w:val="00C2458E"/>
    <w:rsid w:val="00D4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1771"/>
  <w15:docId w15:val="{1ACF1CD5-29C6-4342-B35F-BDD987E8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unhideWhenUsed/>
    <w:qFormat/>
    <w:pPr>
      <w:outlineLvl w:val="1"/>
    </w:pPr>
    <w:rPr>
      <w:b/>
      <w:bCs/>
      <w:color w:val="2E5FA3"/>
      <w:sz w:val="28"/>
      <w:szCs w:val="28"/>
    </w:rPr>
  </w:style>
  <w:style w:type="paragraph" w:styleId="Heading3">
    <w:name w:val="heading 3"/>
    <w:uiPriority w:val="9"/>
    <w:unhideWhenUsed/>
    <w:qFormat/>
    <w:pPr>
      <w:outlineLvl w:val="2"/>
    </w:pPr>
    <w:rPr>
      <w:b/>
      <w:bCs/>
      <w:i/>
      <w:i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458E"/>
    <w:pPr>
      <w:tabs>
        <w:tab w:val="center" w:pos="4513"/>
        <w:tab w:val="right" w:pos="9026"/>
      </w:tabs>
    </w:pPr>
  </w:style>
  <w:style w:type="character" w:customStyle="1" w:styleId="HeaderChar">
    <w:name w:val="Header Char"/>
    <w:basedOn w:val="DefaultParagraphFont"/>
    <w:link w:val="Header"/>
    <w:uiPriority w:val="99"/>
    <w:rsid w:val="00C2458E"/>
  </w:style>
  <w:style w:type="paragraph" w:styleId="Footer">
    <w:name w:val="footer"/>
    <w:basedOn w:val="Normal"/>
    <w:link w:val="FooterChar"/>
    <w:uiPriority w:val="99"/>
    <w:unhideWhenUsed/>
    <w:rsid w:val="00C2458E"/>
    <w:pPr>
      <w:tabs>
        <w:tab w:val="center" w:pos="4513"/>
        <w:tab w:val="right" w:pos="9026"/>
      </w:tabs>
    </w:pPr>
  </w:style>
  <w:style w:type="character" w:customStyle="1" w:styleId="FooterChar">
    <w:name w:val="Footer Char"/>
    <w:basedOn w:val="DefaultParagraphFont"/>
    <w:link w:val="Footer"/>
    <w:uiPriority w:val="99"/>
    <w:rsid w:val="00C24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493B9-F51C-492E-8687-1CDFE466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7771</Words>
  <Characters>44300</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 sandilya</cp:lastModifiedBy>
  <cp:revision>2</cp:revision>
  <dcterms:created xsi:type="dcterms:W3CDTF">2026-06-08T03:43:00Z</dcterms:created>
  <dcterms:modified xsi:type="dcterms:W3CDTF">2026-06-08T04:05:00Z</dcterms:modified>
</cp:coreProperties>
</file>