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52"/>
        </w:rPr>
        <w:t>HotelIQ – Hotel Business Intelligence &amp; Cancellation Risk Analytics</w:t>
      </w:r>
    </w:p>
    <w:p>
      <w:pPr>
        <w:spacing w:after="480"/>
        <w:jc w:val="center"/>
      </w:pPr>
      <w:r>
        <w:rPr>
          <w:rFonts w:ascii="Calibri" w:hAnsi="Calibri"/>
          <w:i/>
          <w:color w:val="475569"/>
          <w:sz w:val="28"/>
        </w:rPr>
        <w:t>Academic Internship Project Report</w:t>
        <w:br/>
        <w:t>AICTE | IBM SkillsBuild Data Analytics with AI Internship 2026 | BharatCares</w:t>
        <w:br/>
        <w:t>Student / Author: Ishita Ghosh | Project Name: HotelIQ – Hotel Booking Analytics</w:t>
      </w:r>
    </w:p>
    <w:p>
      <w:pPr>
        <w:pStyle w:val="Heading1"/>
        <w:spacing w:before="320" w:after="120"/>
      </w:pPr>
      <w:r>
        <w:rPr>
          <w:rFonts w:ascii="Calibri" w:hAnsi="Calibri"/>
          <w:color w:val="1E3A8A"/>
        </w:rPr>
        <w:t>1. Introduction</w:t>
      </w:r>
    </w:p>
    <w:p>
      <w:pPr>
        <w:spacing w:after="120" w:line="276" w:lineRule="auto"/>
      </w:pPr>
      <w:r>
        <w:rPr>
          <w:rFonts w:ascii="Calibri" w:hAnsi="Calibri"/>
          <w:sz w:val="22"/>
        </w:rPr>
        <w:t>In the global hospitality industry, revenue optimization and inventory control rely heavily on predictable booking demand. Hotel managers face continuous challenges due to high customer booking cancellation rates, which introduce operational volatility, lost revenue opportunities, and distorted forecasting. The HotelIQ project presents a data-driven framework combining Business Intelligence (BI) analytics and Machine Learning (ML) risk modeling to empower hoteliers with actionable insights and predictive risk scoring.</w:t>
      </w:r>
    </w:p>
    <w:p>
      <w:pPr>
        <w:pStyle w:val="Heading1"/>
        <w:spacing w:before="320" w:after="120"/>
      </w:pPr>
      <w:r>
        <w:rPr>
          <w:rFonts w:ascii="Calibri" w:hAnsi="Calibri"/>
          <w:color w:val="1E3A8A"/>
        </w:rPr>
        <w:t>2. Problem Statement</w:t>
      </w:r>
    </w:p>
    <w:p>
      <w:pPr>
        <w:spacing w:after="120" w:line="276" w:lineRule="auto"/>
      </w:pPr>
      <w:r>
        <w:rPr>
          <w:rFonts w:ascii="Calibri" w:hAnsi="Calibri"/>
          <w:sz w:val="22"/>
        </w:rPr>
        <w:t>The dataset reflects a high aggregate cancellation rate of 37.07% across 119,203 cleaned hotel bookings, representing an estimated lost booking value of $16,721,229.62 (39.15% of total estimated booking value). Traditional hotel revenue management relies on historical averages rather than granular risk scoring. Without automated cancellation risk prediction and driver identification, hotel management cannot effectively implement targeted retention policies or dynamic overbooking strategies.</w:t>
      </w:r>
    </w:p>
    <w:p>
      <w:pPr>
        <w:pStyle w:val="Heading1"/>
        <w:spacing w:before="320" w:after="120"/>
      </w:pPr>
      <w:r>
        <w:rPr>
          <w:rFonts w:ascii="Calibri" w:hAnsi="Calibri"/>
          <w:color w:val="1E3A8A"/>
        </w:rPr>
        <w:t>3. Objectives</w:t>
      </w:r>
    </w:p>
    <w:p>
      <w:pPr>
        <w:pStyle w:val="ListBullet"/>
        <w:spacing w:after="80"/>
      </w:pPr>
      <w:r>
        <w:rPr>
          <w:rFonts w:ascii="Calibri" w:hAnsi="Calibri"/>
          <w:b/>
          <w:sz w:val="22"/>
        </w:rPr>
        <w:t xml:space="preserve">Phase 1 Data Quality: </w:t>
      </w:r>
      <w:r>
        <w:rPr>
          <w:rFonts w:ascii="Calibri" w:hAnsi="Calibri"/>
          <w:sz w:val="22"/>
        </w:rPr>
        <w:t>Establish a reproducible Python data cleaning pipeline to handle missing values, data type misalignments, invalid zero-guest bookings, and financial ADR anomalies.</w:t>
      </w:r>
    </w:p>
    <w:p>
      <w:pPr>
        <w:pStyle w:val="ListBullet"/>
        <w:spacing w:after="80"/>
      </w:pPr>
      <w:r>
        <w:rPr>
          <w:rFonts w:ascii="Calibri" w:hAnsi="Calibri"/>
          <w:b/>
          <w:sz w:val="22"/>
        </w:rPr>
        <w:t xml:space="preserve">Phase 2 Feature Engineering: </w:t>
      </w:r>
      <w:r>
        <w:rPr>
          <w:rFonts w:ascii="Calibri" w:hAnsi="Calibri"/>
          <w:sz w:val="22"/>
        </w:rPr>
        <w:t>Engineer domain-specific features (total stay nights, total guests, composite arrival date, room change indicators, estimated booking value) strictly supported by dataset schema.</w:t>
      </w:r>
    </w:p>
    <w:p>
      <w:pPr>
        <w:pStyle w:val="ListBullet"/>
        <w:spacing w:after="80"/>
      </w:pPr>
      <w:r>
        <w:rPr>
          <w:rFonts w:ascii="Calibri" w:hAnsi="Calibri"/>
          <w:b/>
          <w:sz w:val="22"/>
        </w:rPr>
        <w:t xml:space="preserve">Phase 3 BI KPI Analytics: </w:t>
      </w:r>
      <w:r>
        <w:rPr>
          <w:rFonts w:ascii="Calibri" w:hAnsi="Calibri"/>
          <w:sz w:val="22"/>
        </w:rPr>
        <w:t>Perform exploratory data analysis to evaluate KPIs including Cancellation Rate, Average Daily Rate (ADR), Stay Duration, Deposit Type patterns, and Market Segment performance.</w:t>
      </w:r>
    </w:p>
    <w:p>
      <w:pPr>
        <w:pStyle w:val="ListBullet"/>
        <w:spacing w:after="80"/>
      </w:pPr>
      <w:r>
        <w:rPr>
          <w:rFonts w:ascii="Calibri" w:hAnsi="Calibri"/>
          <w:b/>
          <w:sz w:val="22"/>
        </w:rPr>
        <w:t xml:space="preserve">Phase 4 Machine Learning: </w:t>
      </w:r>
      <w:r>
        <w:rPr>
          <w:rFonts w:ascii="Calibri" w:hAnsi="Calibri"/>
          <w:sz w:val="22"/>
        </w:rPr>
        <w:t>Develop interpretable binary classification models (Logistic Regression and Random Forest) trained on deduplicated features to predict cancellation probability while strictly avoiding target leakage.</w:t>
      </w:r>
    </w:p>
    <w:p>
      <w:pPr>
        <w:pStyle w:val="ListBullet"/>
        <w:spacing w:after="80"/>
      </w:pPr>
      <w:r>
        <w:rPr>
          <w:rFonts w:ascii="Calibri" w:hAnsi="Calibri"/>
          <w:b/>
          <w:sz w:val="22"/>
        </w:rPr>
        <w:t xml:space="preserve">Phase 5 Business Recommendations: </w:t>
      </w:r>
      <w:r>
        <w:rPr>
          <w:rFonts w:ascii="Calibri" w:hAnsi="Calibri"/>
          <w:sz w:val="22"/>
        </w:rPr>
        <w:t>Formulate actionable strategies framed within the FACT / INSIGHT / RISK / ACTION structure to mitigate financial losses.</w:t>
      </w:r>
    </w:p>
    <w:p>
      <w:pPr>
        <w:pStyle w:val="Heading1"/>
        <w:spacing w:before="320" w:after="120"/>
      </w:pPr>
      <w:r>
        <w:rPr>
          <w:rFonts w:ascii="Calibri" w:hAnsi="Calibri"/>
          <w:color w:val="1E3A8A"/>
        </w:rPr>
        <w:t>4. Dataset Description</w:t>
      </w:r>
    </w:p>
    <w:p>
      <w:pPr>
        <w:spacing w:after="120" w:line="276" w:lineRule="auto"/>
      </w:pPr>
      <w:r>
        <w:rPr>
          <w:rFonts w:ascii="Calibri" w:hAnsi="Calibri"/>
          <w:sz w:val="22"/>
        </w:rPr>
        <w:t>The project utilizes hotel_bookings.csv, comprising 119,390 raw records and 32 features spanning July 1, 2015 through August 31, 2017. The dataset covers two hotel types: City Hotel (66.45%) and Resort Hotel (33.55%).</w:t>
      </w:r>
    </w:p>
    <w:p>
      <w:pPr>
        <w:pStyle w:val="Heading1"/>
        <w:spacing w:before="320" w:after="120"/>
      </w:pPr>
      <w:r>
        <w:rPr>
          <w:rFonts w:ascii="Calibri" w:hAnsi="Calibri"/>
          <w:color w:val="1E3A8A"/>
        </w:rPr>
        <w:t>5. Data Cleaning &amp; Validation Pipeline</w:t>
      </w:r>
    </w:p>
    <w:p>
      <w:pPr>
        <w:spacing w:after="120" w:line="276" w:lineRule="auto"/>
      </w:pPr>
      <w:r>
        <w:rPr>
          <w:rFonts w:ascii="Calibri" w:hAnsi="Calibri"/>
          <w:sz w:val="22"/>
        </w:rPr>
        <w:t>A rigorous data quality process was executed to clean raw data without arbitrary deletion:</w:t>
      </w:r>
    </w:p>
    <w:p>
      <w:pPr>
        <w:pStyle w:val="ListBullet"/>
        <w:spacing w:after="80"/>
      </w:pPr>
      <w:r>
        <w:rPr>
          <w:rFonts w:ascii="Calibri" w:hAnsi="Calibri"/>
          <w:b/>
          <w:sz w:val="22"/>
        </w:rPr>
        <w:t xml:space="preserve">Imputation: </w:t>
      </w:r>
      <w:r>
        <w:rPr>
          <w:rFonts w:ascii="Calibri" w:hAnsi="Calibri"/>
          <w:sz w:val="22"/>
        </w:rPr>
        <w:t>Filled company NaNs with 0 (non-corporate), agent NaNs with 0 (direct booking), country NaNs with 'Unknown', and children NaNs with 0.</w:t>
      </w:r>
    </w:p>
    <w:p>
      <w:pPr>
        <w:pStyle w:val="ListBullet"/>
        <w:spacing w:after="80"/>
      </w:pPr>
      <w:r>
        <w:rPr>
          <w:rFonts w:ascii="Calibri" w:hAnsi="Calibri"/>
          <w:b/>
          <w:sz w:val="22"/>
        </w:rPr>
        <w:t xml:space="preserve">Categorical Standardization: </w:t>
      </w:r>
      <w:r>
        <w:rPr>
          <w:rFonts w:ascii="Calibri" w:hAnsi="Calibri"/>
          <w:sz w:val="22"/>
        </w:rPr>
        <w:t>Mapped 1,169 'Undefined' meal records to 'SC' (Self-Catering), aligning with hospitality industry standards.</w:t>
      </w:r>
    </w:p>
    <w:p>
      <w:pPr>
        <w:pStyle w:val="ListBullet"/>
        <w:spacing w:after="80"/>
      </w:pPr>
      <w:r>
        <w:rPr>
          <w:rFonts w:ascii="Calibri" w:hAnsi="Calibri"/>
          <w:b/>
          <w:sz w:val="22"/>
        </w:rPr>
        <w:t xml:space="preserve">Invalid Record Removal: </w:t>
      </w:r>
      <w:r>
        <w:rPr>
          <w:rFonts w:ascii="Calibri" w:hAnsi="Calibri"/>
          <w:sz w:val="22"/>
        </w:rPr>
        <w:t>Removed 180 zero-guest rows (adults + children + babies == 0), 5 undefined market/distribution channel rows, 1 negative ADR row (-$6.38), and 1 extreme ADR outlier ($5,400.00).</w:t>
      </w:r>
    </w:p>
    <w:p>
      <w:pPr>
        <w:pStyle w:val="ListBullet"/>
        <w:spacing w:after="80"/>
      </w:pPr>
      <w:r>
        <w:rPr>
          <w:rFonts w:ascii="Calibri" w:hAnsi="Calibri"/>
          <w:b/>
          <w:sz w:val="22"/>
        </w:rPr>
        <w:t xml:space="preserve">Final Cleaned Volume: </w:t>
      </w:r>
      <w:r>
        <w:rPr>
          <w:rFonts w:ascii="Calibri" w:hAnsi="Calibri"/>
          <w:sz w:val="22"/>
        </w:rPr>
        <w:t>119,203 valid records retained with 0 missing values.</w:t>
      </w:r>
    </w:p>
    <w:p>
      <w:pPr>
        <w:pStyle w:val="Heading1"/>
        <w:spacing w:before="320" w:after="120"/>
      </w:pPr>
      <w:r>
        <w:rPr>
          <w:rFonts w:ascii="Calibri" w:hAnsi="Calibri"/>
          <w:color w:val="1E3A8A"/>
        </w:rPr>
        <w:t>6. Feature Engineering</w:t>
      </w:r>
    </w:p>
    <w:p>
      <w:pPr>
        <w:spacing w:after="120" w:line="276" w:lineRule="auto"/>
      </w:pPr>
      <w:r>
        <w:rPr>
          <w:rFonts w:ascii="Calibri" w:hAnsi="Calibri"/>
          <w:sz w:val="22"/>
        </w:rPr>
        <w:t>Engineered variables include:</w:t>
      </w:r>
    </w:p>
    <w:p>
      <w:pPr>
        <w:pStyle w:val="ListBullet"/>
        <w:spacing w:after="80"/>
      </w:pPr>
      <w:r>
        <w:rPr>
          <w:rFonts w:ascii="Calibri" w:hAnsi="Calibri"/>
          <w:b/>
          <w:sz w:val="22"/>
        </w:rPr>
        <w:t xml:space="preserve">total_stay_nights: </w:t>
      </w:r>
      <w:r>
        <w:rPr>
          <w:rFonts w:ascii="Calibri" w:hAnsi="Calibri"/>
          <w:sz w:val="22"/>
        </w:rPr>
        <w:t>stays_in_weekend_nights + stays_in_week_nights</w:t>
      </w:r>
    </w:p>
    <w:p>
      <w:pPr>
        <w:pStyle w:val="ListBullet"/>
        <w:spacing w:after="80"/>
      </w:pPr>
      <w:r>
        <w:rPr>
          <w:rFonts w:ascii="Calibri" w:hAnsi="Calibri"/>
          <w:b/>
          <w:sz w:val="22"/>
        </w:rPr>
        <w:t xml:space="preserve">total_guests: </w:t>
      </w:r>
      <w:r>
        <w:rPr>
          <w:rFonts w:ascii="Calibri" w:hAnsi="Calibri"/>
          <w:sz w:val="22"/>
        </w:rPr>
        <w:t>adults + children + babies</w:t>
      </w:r>
    </w:p>
    <w:p>
      <w:pPr>
        <w:pStyle w:val="ListBullet"/>
        <w:spacing w:after="80"/>
      </w:pPr>
      <w:r>
        <w:rPr>
          <w:rFonts w:ascii="Calibri" w:hAnsi="Calibri"/>
          <w:b/>
          <w:sz w:val="22"/>
        </w:rPr>
        <w:t xml:space="preserve">estimated_booking_value: </w:t>
      </w:r>
      <w:r>
        <w:rPr>
          <w:rFonts w:ascii="Calibri" w:hAnsi="Calibri"/>
          <w:sz w:val="22"/>
        </w:rPr>
        <w:t>adr * total_stay_nights (explicitly labeled as an estimate, not true revenue)</w:t>
      </w:r>
    </w:p>
    <w:p>
      <w:pPr>
        <w:pStyle w:val="ListBullet"/>
        <w:spacing w:after="80"/>
      </w:pPr>
      <w:r>
        <w:rPr>
          <w:rFonts w:ascii="Calibri" w:hAnsi="Calibri"/>
          <w:b/>
          <w:sz w:val="22"/>
        </w:rPr>
        <w:t xml:space="preserve">is_room_changed: </w:t>
      </w:r>
      <w:r>
        <w:rPr>
          <w:rFonts w:ascii="Calibri" w:hAnsi="Calibri"/>
          <w:sz w:val="22"/>
        </w:rPr>
        <w:t>Binary indicator (1 if reserved_room_type != assigned_room_type, else 0)</w:t>
      </w:r>
    </w:p>
    <w:p>
      <w:pPr>
        <w:pStyle w:val="ListBullet"/>
        <w:spacing w:after="80"/>
      </w:pPr>
      <w:r>
        <w:rPr>
          <w:rFonts w:ascii="Calibri" w:hAnsi="Calibri"/>
          <w:b/>
          <w:sz w:val="22"/>
        </w:rPr>
        <w:t xml:space="preserve">lead_time_group: </w:t>
      </w:r>
      <w:r>
        <w:rPr>
          <w:rFonts w:ascii="Calibri" w:hAnsi="Calibri"/>
          <w:sz w:val="22"/>
        </w:rPr>
        <w:t>Categorical binning into Same Day, 1-7 Days, 8-30 Days, 31-90 Days, 91-180 Days, 181-365 Days, &gt;365 Days.</w:t>
      </w:r>
    </w:p>
    <w:p>
      <w:pPr>
        <w:pStyle w:val="Heading1"/>
        <w:spacing w:before="320" w:after="120"/>
      </w:pPr>
      <w:r>
        <w:rPr>
          <w:rFonts w:ascii="Calibri" w:hAnsi="Calibri"/>
          <w:color w:val="1E3A8A"/>
        </w:rPr>
        <w:t>7. Business Intelligence KPI Analysis</w:t>
      </w:r>
    </w:p>
    <w:p>
      <w:pPr>
        <w:pStyle w:val="ListBullet"/>
        <w:spacing w:after="80"/>
      </w:pPr>
      <w:r>
        <w:rPr>
          <w:rFonts w:ascii="Calibri" w:hAnsi="Calibri"/>
          <w:b/>
          <w:sz w:val="22"/>
        </w:rPr>
        <w:t xml:space="preserve">Total Bookings: </w:t>
      </w:r>
      <w:r>
        <w:rPr>
          <w:rFonts w:ascii="Calibri" w:hAnsi="Calibri"/>
          <w:sz w:val="22"/>
        </w:rPr>
        <w:t>119,203</w:t>
      </w:r>
    </w:p>
    <w:p>
      <w:pPr>
        <w:pStyle w:val="ListBullet"/>
        <w:spacing w:after="80"/>
      </w:pPr>
      <w:r>
        <w:rPr>
          <w:rFonts w:ascii="Calibri" w:hAnsi="Calibri"/>
          <w:b/>
          <w:sz w:val="22"/>
        </w:rPr>
        <w:t xml:space="preserve">Total Cancelled Bookings: </w:t>
      </w:r>
      <w:r>
        <w:rPr>
          <w:rFonts w:ascii="Calibri" w:hAnsi="Calibri"/>
          <w:sz w:val="22"/>
        </w:rPr>
        <w:t>44,194</w:t>
      </w:r>
    </w:p>
    <w:p>
      <w:pPr>
        <w:pStyle w:val="ListBullet"/>
        <w:spacing w:after="80"/>
      </w:pPr>
      <w:r>
        <w:rPr>
          <w:rFonts w:ascii="Calibri" w:hAnsi="Calibri"/>
          <w:b/>
          <w:sz w:val="22"/>
        </w:rPr>
        <w:t xml:space="preserve">Cancellation Rate: </w:t>
      </w:r>
      <w:r>
        <w:rPr>
          <w:rFonts w:ascii="Calibri" w:hAnsi="Calibri"/>
          <w:sz w:val="22"/>
        </w:rPr>
        <w:t>37.07%</w:t>
      </w:r>
    </w:p>
    <w:p>
      <w:pPr>
        <w:pStyle w:val="ListBullet"/>
        <w:spacing w:after="80"/>
      </w:pPr>
      <w:r>
        <w:rPr>
          <w:rFonts w:ascii="Calibri" w:hAnsi="Calibri"/>
          <w:b/>
          <w:sz w:val="22"/>
        </w:rPr>
        <w:t xml:space="preserve">Average ADR: </w:t>
      </w:r>
      <w:r>
        <w:rPr>
          <w:rFonts w:ascii="Calibri" w:hAnsi="Calibri"/>
          <w:sz w:val="22"/>
        </w:rPr>
        <w:t>$101.93</w:t>
      </w:r>
    </w:p>
    <w:p>
      <w:pPr>
        <w:pStyle w:val="ListBullet"/>
        <w:spacing w:after="80"/>
      </w:pPr>
      <w:r>
        <w:rPr>
          <w:rFonts w:ascii="Calibri" w:hAnsi="Calibri"/>
          <w:b/>
          <w:sz w:val="22"/>
        </w:rPr>
        <w:t xml:space="preserve">Average Stay Length: </w:t>
      </w:r>
      <w:r>
        <w:rPr>
          <w:rFonts w:ascii="Calibri" w:hAnsi="Calibri"/>
          <w:sz w:val="22"/>
        </w:rPr>
        <w:t>3.43 nights</w:t>
      </w:r>
    </w:p>
    <w:p>
      <w:pPr>
        <w:pStyle w:val="ListBullet"/>
        <w:spacing w:after="80"/>
      </w:pPr>
      <w:r>
        <w:rPr>
          <w:rFonts w:ascii="Calibri" w:hAnsi="Calibri"/>
          <w:b/>
          <w:sz w:val="22"/>
        </w:rPr>
        <w:t xml:space="preserve">Repeat Guest Rate: </w:t>
      </w:r>
      <w:r>
        <w:rPr>
          <w:rFonts w:ascii="Calibri" w:hAnsi="Calibri"/>
          <w:sz w:val="22"/>
        </w:rPr>
        <w:t>3.15%</w:t>
      </w:r>
    </w:p>
    <w:p>
      <w:pPr>
        <w:pStyle w:val="ListBullet"/>
        <w:spacing w:after="80"/>
      </w:pPr>
      <w:r>
        <w:rPr>
          <w:rFonts w:ascii="Calibri" w:hAnsi="Calibri"/>
          <w:b/>
          <w:sz w:val="22"/>
        </w:rPr>
        <w:t xml:space="preserve">Total Estimated Value: </w:t>
      </w:r>
      <w:r>
        <w:rPr>
          <w:rFonts w:ascii="Calibri" w:hAnsi="Calibri"/>
          <w:sz w:val="22"/>
        </w:rPr>
        <w:t>$42,707,642.15</w:t>
      </w:r>
    </w:p>
    <w:p>
      <w:pPr>
        <w:pStyle w:val="ListBullet"/>
        <w:spacing w:after="80"/>
      </w:pPr>
      <w:r>
        <w:rPr>
          <w:rFonts w:ascii="Calibri" w:hAnsi="Calibri"/>
          <w:b/>
          <w:sz w:val="22"/>
        </w:rPr>
        <w:t xml:space="preserve">Lost Estimated Value: </w:t>
      </w:r>
      <w:r>
        <w:rPr>
          <w:rFonts w:ascii="Calibri" w:hAnsi="Calibri"/>
          <w:sz w:val="22"/>
        </w:rPr>
        <w:t>$16,721,229.62</w:t>
      </w:r>
    </w:p>
    <w:p>
      <w:pPr>
        <w:pStyle w:val="Heading2"/>
        <w:spacing w:before="240" w:after="80"/>
      </w:pPr>
      <w:r>
        <w:rPr>
          <w:rFonts w:ascii="Calibri" w:hAnsi="Calibri"/>
          <w:color w:val="334155"/>
        </w:rPr>
        <w:t>Key Cancellation Drivers</w:t>
      </w:r>
    </w:p>
    <w:p>
      <w:pPr>
        <w:pStyle w:val="ListBullet"/>
        <w:spacing w:after="80"/>
      </w:pPr>
      <w:r>
        <w:rPr>
          <w:rFonts w:ascii="Calibri" w:hAnsi="Calibri"/>
          <w:b/>
          <w:sz w:val="22"/>
        </w:rPr>
        <w:t xml:space="preserve">Lead Time Impact: </w:t>
      </w:r>
      <w:r>
        <w:rPr>
          <w:rFonts w:ascii="Calibri" w:hAnsi="Calibri"/>
          <w:sz w:val="22"/>
        </w:rPr>
        <w:t>Cancellation risk scales monotonically with lead time: 6.66% for Same Day, 10.96% for 1-7 days, 37.73% for 31-90 days, 55.46% for 181-365 days, and 67.65% for &gt;365 days.</w:t>
      </w:r>
    </w:p>
    <w:p>
      <w:pPr>
        <w:pStyle w:val="ListBullet"/>
        <w:spacing w:after="80"/>
      </w:pPr>
      <w:r>
        <w:rPr>
          <w:rFonts w:ascii="Calibri" w:hAnsi="Calibri"/>
          <w:b/>
          <w:sz w:val="22"/>
        </w:rPr>
        <w:t xml:space="preserve">Non-Refundable Deposit Paradox: </w:t>
      </w:r>
      <w:r>
        <w:rPr>
          <w:rFonts w:ascii="Calibri" w:hAnsi="Calibri"/>
          <w:sz w:val="22"/>
        </w:rPr>
        <w:t>Non-refundable deposit bookings exhibit a 99.36% cancellation rate (14,493 out of 14,586), driven by wholesale tour operator advance block releases.</w:t>
      </w:r>
    </w:p>
    <w:p>
      <w:pPr>
        <w:pStyle w:val="ListBullet"/>
        <w:spacing w:after="80"/>
      </w:pPr>
      <w:r>
        <w:rPr>
          <w:rFonts w:ascii="Calibri" w:hAnsi="Calibri"/>
          <w:b/>
          <w:sz w:val="22"/>
        </w:rPr>
        <w:t xml:space="preserve">Room Assignment Effect: </w:t>
      </w:r>
      <w:r>
        <w:rPr>
          <w:rFonts w:ascii="Calibri" w:hAnsi="Calibri"/>
          <w:sz w:val="22"/>
        </w:rPr>
        <w:t>Bookings experiencing a room assignment change/upgrade exhibit a significantly lower cancellation rate of 5.41% vs 41.56% for unchanged rooms.</w:t>
      </w:r>
    </w:p>
    <w:p>
      <w:pPr>
        <w:pStyle w:val="Heading1"/>
        <w:spacing w:before="320" w:after="120"/>
      </w:pPr>
      <w:r>
        <w:rPr>
          <w:rFonts w:ascii="Calibri" w:hAnsi="Calibri"/>
          <w:color w:val="1E3A8A"/>
        </w:rPr>
        <w:t>8. Machine Learning Methodology &amp; Model Evaluation</w:t>
      </w:r>
    </w:p>
    <w:p>
      <w:pPr>
        <w:spacing w:after="120" w:line="276" w:lineRule="auto"/>
      </w:pPr>
      <w:r>
        <w:rPr>
          <w:rFonts w:ascii="Calibri" w:hAnsi="Calibri"/>
          <w:sz w:val="22"/>
        </w:rPr>
        <w:t>Models were trained on the deduplicated dataset (87,223 records) split 80/20 into stratified train and test sets. Target leakage features (reservation_status, reservation_status_date) were strictly excluded.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Model</w:t>
            </w:r>
          </w:p>
        </w:tc>
        <w:tc>
          <w:tcPr>
            <w:tcW w:type="dxa" w:w="1560"/>
          </w:tcPr>
          <w:p>
            <w:r>
              <w:rPr>
                <w:b/>
              </w:rPr>
              <w:t>Accuracy</w:t>
            </w:r>
          </w:p>
        </w:tc>
        <w:tc>
          <w:tcPr>
            <w:tcW w:type="dxa" w:w="1560"/>
          </w:tcPr>
          <w:p>
            <w:r>
              <w:rPr>
                <w:b/>
              </w:rPr>
              <w:t>Precision</w:t>
            </w:r>
          </w:p>
        </w:tc>
        <w:tc>
          <w:tcPr>
            <w:tcW w:type="dxa" w:w="1560"/>
          </w:tcPr>
          <w:p>
            <w:r>
              <w:rPr>
                <w:b/>
              </w:rPr>
              <w:t>Recall</w:t>
            </w:r>
          </w:p>
        </w:tc>
        <w:tc>
          <w:tcPr>
            <w:tcW w:type="dxa" w:w="1560"/>
          </w:tcPr>
          <w:p>
            <w:r>
              <w:rPr>
                <w:b/>
              </w:rPr>
              <w:t>F1-Score</w:t>
            </w:r>
          </w:p>
        </w:tc>
        <w:tc>
          <w:tcPr>
            <w:tcW w:type="dxa" w:w="1560"/>
          </w:tcPr>
          <w:p>
            <w:r>
              <w:rPr>
                <w:b/>
              </w:rPr>
              <w:t>ROC-AUC</w:t>
            </w:r>
          </w:p>
        </w:tc>
      </w:tr>
      <w:tr>
        <w:tc>
          <w:tcPr>
            <w:tcW w:type="dxa" w:w="1560"/>
          </w:tcPr>
          <w:p>
            <w:r>
              <w:t>Logistic Regression</w:t>
            </w:r>
          </w:p>
        </w:tc>
        <w:tc>
          <w:tcPr>
            <w:tcW w:type="dxa" w:w="1560"/>
          </w:tcPr>
          <w:p>
            <w:r>
              <w:t>0.8101</w:t>
            </w:r>
          </w:p>
        </w:tc>
        <w:tc>
          <w:tcPr>
            <w:tcW w:type="dxa" w:w="1560"/>
          </w:tcPr>
          <w:p>
            <w:r>
              <w:t>0.7018</w:t>
            </w:r>
          </w:p>
        </w:tc>
        <w:tc>
          <w:tcPr>
            <w:tcW w:type="dxa" w:w="1560"/>
          </w:tcPr>
          <w:p>
            <w:r>
              <w:t>0.5393</w:t>
            </w:r>
          </w:p>
        </w:tc>
        <w:tc>
          <w:tcPr>
            <w:tcW w:type="dxa" w:w="1560"/>
          </w:tcPr>
          <w:p>
            <w:r>
              <w:t>0.6099</w:t>
            </w:r>
          </w:p>
        </w:tc>
        <w:tc>
          <w:tcPr>
            <w:tcW w:type="dxa" w:w="1560"/>
          </w:tcPr>
          <w:p>
            <w:r>
              <w:t>0.8666</w:t>
            </w:r>
          </w:p>
        </w:tc>
      </w:tr>
      <w:tr>
        <w:tc>
          <w:tcPr>
            <w:tcW w:type="dxa" w:w="1560"/>
          </w:tcPr>
          <w:p>
            <w:r>
              <w:t>Random Forest</w:t>
            </w:r>
          </w:p>
        </w:tc>
        <w:tc>
          <w:tcPr>
            <w:tcW w:type="dxa" w:w="1560"/>
          </w:tcPr>
          <w:p>
            <w:r>
              <w:t>0.8291</w:t>
            </w:r>
          </w:p>
        </w:tc>
        <w:tc>
          <w:tcPr>
            <w:tcW w:type="dxa" w:w="1560"/>
          </w:tcPr>
          <w:p>
            <w:r>
              <w:t>0.8158</w:t>
            </w:r>
          </w:p>
        </w:tc>
        <w:tc>
          <w:tcPr>
            <w:tcW w:type="dxa" w:w="1560"/>
          </w:tcPr>
          <w:p>
            <w:r>
              <w:t>0.4897</w:t>
            </w:r>
          </w:p>
        </w:tc>
        <w:tc>
          <w:tcPr>
            <w:tcW w:type="dxa" w:w="1560"/>
          </w:tcPr>
          <w:p>
            <w:r>
              <w:t>0.612</w:t>
            </w:r>
          </w:p>
        </w:tc>
        <w:tc>
          <w:tcPr>
            <w:tcW w:type="dxa" w:w="1560"/>
          </w:tcPr>
          <w:p>
            <w:r>
              <w:t>0.8956</w:t>
            </w:r>
          </w:p>
        </w:tc>
      </w:tr>
    </w:tbl>
    <w:p>
      <w:pPr>
        <w:spacing w:after="240"/>
      </w:pPr>
    </w:p>
    <w:p>
      <w:pPr>
        <w:pStyle w:val="Heading1"/>
        <w:spacing w:before="320" w:after="120"/>
      </w:pPr>
      <w:r>
        <w:rPr>
          <w:rFonts w:ascii="Calibri" w:hAnsi="Calibri"/>
          <w:color w:val="1E3A8A"/>
        </w:rPr>
        <w:t>9. Structured Business Insights &amp; Framework</w:t>
      </w:r>
    </w:p>
    <w:p>
      <w:pPr>
        <w:pStyle w:val="Heading2"/>
        <w:spacing w:before="240" w:after="80"/>
      </w:pPr>
      <w:r>
        <w:rPr>
          <w:rFonts w:ascii="Calibri" w:hAnsi="Calibri"/>
          <w:color w:val="334155"/>
        </w:rPr>
        <w:t>Finding 1: High Lead-Time Speculation</w:t>
      </w:r>
    </w:p>
    <w:p>
      <w:pPr>
        <w:pStyle w:val="ListBullet"/>
        <w:spacing w:after="80"/>
      </w:pPr>
      <w:r>
        <w:rPr>
          <w:rFonts w:ascii="Calibri" w:hAnsi="Calibri"/>
          <w:b/>
          <w:sz w:val="22"/>
        </w:rPr>
        <w:t xml:space="preserve">FACT: </w:t>
      </w:r>
      <w:r>
        <w:rPr>
          <w:rFonts w:ascii="Calibri" w:hAnsi="Calibri"/>
          <w:sz w:val="22"/>
        </w:rPr>
        <w:t>Bookings made &gt;180 days in advance cancel at a rate of 55.46% to 67.65%.</w:t>
      </w:r>
    </w:p>
    <w:p>
      <w:pPr>
        <w:pStyle w:val="ListBullet"/>
        <w:spacing w:after="80"/>
      </w:pPr>
      <w:r>
        <w:rPr>
          <w:rFonts w:ascii="Calibri" w:hAnsi="Calibri"/>
          <w:b/>
          <w:sz w:val="22"/>
        </w:rPr>
        <w:t xml:space="preserve">INSIGHT: </w:t>
      </w:r>
      <w:r>
        <w:rPr>
          <w:rFonts w:ascii="Calibri" w:hAnsi="Calibri"/>
          <w:sz w:val="22"/>
        </w:rPr>
        <w:t>Long lead times foster low-commitment speculative reservations.</w:t>
      </w:r>
    </w:p>
    <w:p>
      <w:pPr>
        <w:pStyle w:val="ListBullet"/>
        <w:spacing w:after="80"/>
      </w:pPr>
      <w:r>
        <w:rPr>
          <w:rFonts w:ascii="Calibri" w:hAnsi="Calibri"/>
          <w:b/>
          <w:sz w:val="22"/>
        </w:rPr>
        <w:t xml:space="preserve">RISK / OPPORTUNITY: </w:t>
      </w:r>
      <w:r>
        <w:rPr>
          <w:rFonts w:ascii="Calibri" w:hAnsi="Calibri"/>
          <w:sz w:val="22"/>
        </w:rPr>
        <w:t>Loss of room availability for short-notice, high-intent travelers.</w:t>
      </w:r>
    </w:p>
    <w:p>
      <w:pPr>
        <w:pStyle w:val="ListBullet"/>
        <w:spacing w:after="80"/>
      </w:pPr>
      <w:r>
        <w:rPr>
          <w:rFonts w:ascii="Calibri" w:hAnsi="Calibri"/>
          <w:b/>
          <w:sz w:val="22"/>
        </w:rPr>
        <w:t xml:space="preserve">POSSIBLE BUSINESS ACTION: </w:t>
      </w:r>
      <w:r>
        <w:rPr>
          <w:rFonts w:ascii="Calibri" w:hAnsi="Calibri"/>
          <w:sz w:val="22"/>
        </w:rPr>
        <w:t>Introduce mandatory check-in confirmation touchpoints at 90, 60, and 30 days prior to arrival.</w:t>
      </w:r>
    </w:p>
    <w:p>
      <w:pPr>
        <w:pStyle w:val="Heading2"/>
        <w:spacing w:before="240" w:after="80"/>
      </w:pPr>
      <w:r>
        <w:rPr>
          <w:rFonts w:ascii="Calibri" w:hAnsi="Calibri"/>
          <w:color w:val="334155"/>
        </w:rPr>
        <w:t>Finding 2: Wholesale Non-Refundable Block Cancellations</w:t>
      </w:r>
    </w:p>
    <w:p>
      <w:pPr>
        <w:pStyle w:val="ListBullet"/>
        <w:spacing w:after="80"/>
      </w:pPr>
      <w:r>
        <w:rPr>
          <w:rFonts w:ascii="Calibri" w:hAnsi="Calibri"/>
          <w:b/>
          <w:sz w:val="22"/>
        </w:rPr>
        <w:t xml:space="preserve">FACT: </w:t>
      </w:r>
      <w:r>
        <w:rPr>
          <w:rFonts w:ascii="Calibri" w:hAnsi="Calibri"/>
          <w:sz w:val="22"/>
        </w:rPr>
        <w:t>Non-refundable deposits show a 99.36% cancellation rate.</w:t>
      </w:r>
    </w:p>
    <w:p>
      <w:pPr>
        <w:pStyle w:val="ListBullet"/>
        <w:spacing w:after="80"/>
      </w:pPr>
      <w:r>
        <w:rPr>
          <w:rFonts w:ascii="Calibri" w:hAnsi="Calibri"/>
          <w:b/>
          <w:sz w:val="22"/>
        </w:rPr>
        <w:t xml:space="preserve">INSIGHT: </w:t>
      </w:r>
      <w:r>
        <w:rPr>
          <w:rFonts w:ascii="Calibri" w:hAnsi="Calibri"/>
          <w:sz w:val="22"/>
        </w:rPr>
        <w:t>Tour operators reserve non-refundable group blocks far in advance and relinquish unallocated capacity.</w:t>
      </w:r>
    </w:p>
    <w:p>
      <w:pPr>
        <w:pStyle w:val="ListBullet"/>
        <w:spacing w:after="80"/>
      </w:pPr>
      <w:r>
        <w:rPr>
          <w:rFonts w:ascii="Calibri" w:hAnsi="Calibri"/>
          <w:b/>
          <w:sz w:val="22"/>
        </w:rPr>
        <w:t xml:space="preserve">RISK / OPPORTUNITY: </w:t>
      </w:r>
      <w:r>
        <w:rPr>
          <w:rFonts w:ascii="Calibri" w:hAnsi="Calibri"/>
          <w:sz w:val="22"/>
        </w:rPr>
        <w:t>Artificial demand inflation and distorted financial projections.</w:t>
      </w:r>
    </w:p>
    <w:p>
      <w:pPr>
        <w:pStyle w:val="ListBullet"/>
        <w:spacing w:after="80"/>
      </w:pPr>
      <w:r>
        <w:rPr>
          <w:rFonts w:ascii="Calibri" w:hAnsi="Calibri"/>
          <w:b/>
          <w:sz w:val="22"/>
        </w:rPr>
        <w:t xml:space="preserve">POSSIBLE BUSINESS ACTION: </w:t>
      </w:r>
      <w:r>
        <w:rPr>
          <w:rFonts w:ascii="Calibri" w:hAnsi="Calibri"/>
          <w:sz w:val="22"/>
        </w:rPr>
        <w:t>Enforce strict release dates and advance group deposit terms for wholesale travel partners.</w:t>
      </w:r>
    </w:p>
    <w:p>
      <w:pPr>
        <w:pStyle w:val="Heading1"/>
        <w:spacing w:before="320" w:after="120"/>
      </w:pPr>
      <w:r>
        <w:rPr>
          <w:rFonts w:ascii="Calibri" w:hAnsi="Calibri"/>
          <w:color w:val="1E3A8A"/>
        </w:rPr>
        <w:t>10. Limitations &amp; Future Scope</w:t>
      </w:r>
    </w:p>
    <w:p>
      <w:pPr>
        <w:pStyle w:val="ListBullet"/>
        <w:spacing w:after="80"/>
      </w:pPr>
      <w:r>
        <w:rPr>
          <w:rFonts w:ascii="Calibri" w:hAnsi="Calibri"/>
          <w:b/>
          <w:sz w:val="22"/>
        </w:rPr>
        <w:t xml:space="preserve">Limitations: </w:t>
      </w:r>
      <w:r>
        <w:rPr>
          <w:rFonts w:ascii="Calibri" w:hAnsi="Calibri"/>
          <w:sz w:val="22"/>
        </w:rPr>
        <w:t>Dataset lacks unique booking IDs, true operational profit margins, and real-time cancellation timestamp telemetry.</w:t>
      </w:r>
    </w:p>
    <w:p>
      <w:pPr>
        <w:pStyle w:val="ListBullet"/>
        <w:spacing w:after="80"/>
      </w:pPr>
      <w:r>
        <w:rPr>
          <w:rFonts w:ascii="Calibri" w:hAnsi="Calibri"/>
          <w:b/>
          <w:sz w:val="22"/>
        </w:rPr>
        <w:t xml:space="preserve">Future Scope: </w:t>
      </w:r>
      <w:r>
        <w:rPr>
          <w:rFonts w:ascii="Calibri" w:hAnsi="Calibri"/>
          <w:sz w:val="22"/>
        </w:rPr>
        <w:t>Integration of dynamic pricing algorithms, customer sentiment analysis, and external macro-economic holiday indicators.</w:t>
      </w:r>
    </w:p>
    <w:p>
      <w:pPr>
        <w:pStyle w:val="Heading1"/>
        <w:spacing w:before="320" w:after="120"/>
      </w:pPr>
      <w:r>
        <w:rPr>
          <w:rFonts w:ascii="Calibri" w:hAnsi="Calibri"/>
          <w:color w:val="1E3A8A"/>
        </w:rPr>
        <w:t>11. Conclusion</w:t>
      </w:r>
    </w:p>
    <w:p>
      <w:pPr>
        <w:spacing w:after="120" w:line="276" w:lineRule="auto"/>
      </w:pPr>
      <w:r>
        <w:rPr>
          <w:rFonts w:ascii="Calibri" w:hAnsi="Calibri"/>
          <w:sz w:val="22"/>
        </w:rPr>
        <w:t>The HotelIQ analytics project demonstrates how structured data cleaning, predictive machine learning, and BI dashboard visualizer empower hotel revenue managers to identify high-risk bookings early, optimize inventory allocation, and protect estimated revenue streams.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