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FA60A7">
      <w:pPr>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The high impact skills development</w:t>
      </w:r>
      <w:r>
        <w:rPr>
          <w:rFonts w:hint="default" w:ascii="Times New Roman" w:hAnsi="Times New Roman" w:cs="Times New Roman"/>
          <w:b/>
          <w:bCs/>
          <w:color w:val="000000"/>
          <w:sz w:val="48"/>
          <w:szCs w:val="48"/>
          <w:lang w:val="en-US"/>
        </w:rPr>
        <w:t xml:space="preserve"> </w:t>
      </w:r>
      <w:r>
        <w:rPr>
          <w:rFonts w:ascii="Times New Roman" w:hAnsi="Times New Roman" w:cs="Times New Roman"/>
          <w:b/>
          <w:bCs/>
          <w:color w:val="000000"/>
          <w:sz w:val="48"/>
          <w:szCs w:val="48"/>
        </w:rPr>
        <w:t>program</w:t>
      </w:r>
    </w:p>
    <w:p w14:paraId="7B2DC367">
      <w:pPr>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(AI – DS)</w:t>
      </w:r>
    </w:p>
    <w:p w14:paraId="68605562">
      <w:pPr>
        <w:jc w:val="center"/>
        <w:rPr>
          <w:rFonts w:hint="default" w:ascii="Agency FB" w:hAnsi="Agency FB"/>
          <w:b/>
          <w:bCs/>
          <w:color w:val="000000"/>
          <w:sz w:val="36"/>
          <w:szCs w:val="36"/>
          <w:lang w:val="en-US"/>
        </w:rPr>
      </w:pPr>
      <w:r>
        <w:rPr>
          <w:rFonts w:ascii="Agency FB" w:hAnsi="Agency FB"/>
          <w:b/>
          <w:bCs/>
          <w:color w:val="000000"/>
          <w:sz w:val="36"/>
          <w:szCs w:val="36"/>
        </w:rPr>
        <w:t xml:space="preserve">Submitted by </w:t>
      </w:r>
      <w:r>
        <w:rPr>
          <w:rFonts w:hint="default" w:ascii="Agency FB" w:hAnsi="Agency FB"/>
          <w:b/>
          <w:bCs/>
          <w:color w:val="000000"/>
          <w:sz w:val="36"/>
          <w:szCs w:val="36"/>
          <w:lang w:val="en-US"/>
        </w:rPr>
        <w:t>TOUSEEF KHAN</w:t>
      </w:r>
    </w:p>
    <w:p w14:paraId="58EB5605">
      <w:pPr>
        <w:jc w:val="center"/>
        <w:rPr>
          <w:rFonts w:ascii="Agency FB" w:hAnsi="Agency FB"/>
          <w:b/>
          <w:bCs/>
          <w:color w:val="000000"/>
          <w:sz w:val="36"/>
          <w:szCs w:val="36"/>
        </w:rPr>
      </w:pPr>
      <w:r>
        <w:rPr>
          <w:rFonts w:ascii="Agency FB" w:hAnsi="Agency FB"/>
          <w:b/>
          <w:bCs/>
          <w:color w:val="000000"/>
          <w:sz w:val="36"/>
          <w:szCs w:val="36"/>
        </w:rPr>
        <w:t>SECTION 4</w:t>
      </w:r>
    </w:p>
    <w:p w14:paraId="7FD82742">
      <w:pPr>
        <w:jc w:val="center"/>
        <w:rPr>
          <w:rFonts w:ascii="Agency FB" w:hAnsi="Agency FB"/>
          <w:b/>
          <w:bCs/>
          <w:color w:val="000000"/>
          <w:sz w:val="36"/>
          <w:szCs w:val="36"/>
        </w:rPr>
      </w:pPr>
      <w:r>
        <w:rPr>
          <w:rFonts w:ascii="Agency FB" w:hAnsi="Agency FB"/>
          <w:b/>
          <w:bCs/>
          <w:color w:val="000000"/>
          <w:sz w:val="36"/>
          <w:szCs w:val="36"/>
        </w:rPr>
        <w:t>PHASE II</w:t>
      </w:r>
    </w:p>
    <w:p w14:paraId="27A1325A">
      <w:pPr>
        <w:jc w:val="center"/>
        <w:rPr>
          <w:rFonts w:ascii="Agency FB" w:hAnsi="Agency FB"/>
          <w:b/>
          <w:bCs/>
          <w:color w:val="000000"/>
          <w:sz w:val="36"/>
          <w:szCs w:val="36"/>
        </w:rPr>
      </w:pPr>
    </w:p>
    <w:p w14:paraId="3F3DB536">
      <w:pPr>
        <w:jc w:val="center"/>
        <w:rPr>
          <w:rFonts w:ascii="Agency FB" w:hAnsi="Agency FB"/>
          <w:b/>
          <w:bCs/>
          <w:color w:val="000000"/>
          <w:sz w:val="36"/>
          <w:szCs w:val="36"/>
        </w:rPr>
      </w:pPr>
      <w:r>
        <w:rPr>
          <w:rFonts w:ascii="Agency FB" w:hAnsi="Agency FB"/>
          <w:b/>
          <w:bCs/>
          <w:color w:val="000000"/>
          <w:sz w:val="36"/>
          <w:szCs w:val="36"/>
        </w:rPr>
        <w:t xml:space="preserve">Project link: </w:t>
      </w:r>
    </w:p>
    <w:p w14:paraId="36911722">
      <w:pPr>
        <w:jc w:val="center"/>
        <w:rPr>
          <w:rFonts w:hint="default" w:ascii="Agency FB" w:hAnsi="Agency FB"/>
          <w:b/>
          <w:bCs/>
          <w:color w:val="000000"/>
          <w:sz w:val="36"/>
          <w:szCs w:val="36"/>
        </w:rPr>
      </w:pPr>
      <w:r>
        <w:rPr>
          <w:rFonts w:hint="default" w:ascii="Agency FB" w:hAnsi="Agency FB"/>
          <w:b/>
          <w:bCs/>
          <w:color w:val="000000"/>
          <w:sz w:val="36"/>
          <w:szCs w:val="36"/>
        </w:rPr>
        <w:fldChar w:fldCharType="begin"/>
      </w:r>
      <w:r>
        <w:rPr>
          <w:rFonts w:hint="default" w:ascii="Agency FB" w:hAnsi="Agency FB"/>
          <w:b/>
          <w:bCs/>
          <w:color w:val="000000"/>
          <w:sz w:val="36"/>
          <w:szCs w:val="36"/>
        </w:rPr>
        <w:instrText xml:space="preserve"> HYPERLINK "https://prod-apnortheast-a.online.tableau.com/#/site/aalikhan22554-d39add6d8b/views/datavisualizationproject/Dashboard1?:iid=4" </w:instrText>
      </w:r>
      <w:r>
        <w:rPr>
          <w:rFonts w:hint="default" w:ascii="Agency FB" w:hAnsi="Agency FB"/>
          <w:b/>
          <w:bCs/>
          <w:color w:val="000000"/>
          <w:sz w:val="36"/>
          <w:szCs w:val="36"/>
        </w:rPr>
        <w:fldChar w:fldCharType="separate"/>
      </w:r>
      <w:r>
        <w:rPr>
          <w:rStyle w:val="5"/>
          <w:rFonts w:hint="default" w:ascii="Agency FB" w:hAnsi="Agency FB"/>
          <w:b/>
          <w:bCs/>
          <w:sz w:val="36"/>
          <w:szCs w:val="36"/>
        </w:rPr>
        <w:t>https://prod-apnortheast-a.online.tableau.com/#/site/aalikhan22554-d39add6d8b/views/datavisualizationproject/Dashboard1?:iid=4</w:t>
      </w:r>
      <w:r>
        <w:rPr>
          <w:rFonts w:hint="default" w:ascii="Agency FB" w:hAnsi="Agency FB"/>
          <w:b/>
          <w:bCs/>
          <w:color w:val="000000"/>
          <w:sz w:val="36"/>
          <w:szCs w:val="36"/>
        </w:rPr>
        <w:fldChar w:fldCharType="end"/>
      </w:r>
    </w:p>
    <w:p w14:paraId="34B87594">
      <w:pPr>
        <w:jc w:val="left"/>
        <w:rPr>
          <w:rFonts w:hint="default" w:ascii="Agency FB" w:hAnsi="Agency FB"/>
          <w:b/>
          <w:bCs/>
          <w:color w:val="000000"/>
          <w:sz w:val="36"/>
          <w:szCs w:val="36"/>
        </w:rPr>
      </w:pPr>
    </w:p>
    <w:p w14:paraId="2E387B8F">
      <w:pPr>
        <w:jc w:val="center"/>
        <w:rPr>
          <w:rFonts w:hint="default" w:ascii="Agency FB" w:hAnsi="Agency FB"/>
          <w:b/>
          <w:bCs/>
          <w:color w:val="000000"/>
          <w:sz w:val="36"/>
          <w:szCs w:val="36"/>
          <w:lang w:val="en-US"/>
        </w:rPr>
      </w:pPr>
    </w:p>
    <w:p w14:paraId="5928B24D">
      <w:pPr>
        <w:jc w:val="center"/>
        <w:rPr>
          <w:rFonts w:ascii="Times New Roman" w:hAnsi="Times New Roman" w:cs="Times New Roman"/>
          <w:b/>
          <w:bCs/>
          <w:color w:val="000000"/>
          <w:sz w:val="48"/>
          <w:szCs w:val="48"/>
        </w:rPr>
      </w:pPr>
    </w:p>
    <w:p w14:paraId="26C810DE">
      <w:pPr>
        <w:jc w:val="both"/>
        <w:rPr>
          <w:rFonts w:ascii="Times New Roman" w:hAnsi="Times New Roman" w:cs="Times New Roman"/>
          <w:b/>
          <w:bCs/>
          <w:color w:val="000000"/>
          <w:sz w:val="48"/>
          <w:szCs w:val="48"/>
        </w:rPr>
      </w:pPr>
    </w:p>
    <w:p w14:paraId="3BFFC363">
      <w:pPr>
        <w:jc w:val="both"/>
        <w:rPr>
          <w:rFonts w:hint="default" w:ascii="Times New Roman" w:hAnsi="Times New Roman" w:cs="Times New Roman"/>
          <w:b/>
          <w:bCs/>
          <w:color w:val="000000"/>
          <w:sz w:val="48"/>
          <w:szCs w:val="48"/>
          <w:lang w:val="en-US"/>
        </w:rPr>
      </w:pPr>
      <w:r>
        <w:rPr>
          <w:rFonts w:hint="default" w:ascii="Times New Roman" w:hAnsi="Times New Roman" w:cs="Times New Roman"/>
          <w:b/>
          <w:bCs/>
          <w:color w:val="000000"/>
          <w:sz w:val="48"/>
          <w:szCs w:val="48"/>
          <w:lang w:val="en-US"/>
        </w:rPr>
        <w:drawing>
          <wp:inline distT="0" distB="0" distL="114300" distR="114300">
            <wp:extent cx="7206615" cy="3706495"/>
            <wp:effectExtent l="0" t="0" r="0" b="0"/>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cNvPicPr>
                      <a:picLocks noChangeAspect="1"/>
                    </pic:cNvPicPr>
                  </pic:nvPicPr>
                  <pic:blipFill>
                    <a:blip r:embed="rId6"/>
                    <a:srcRect t="7992"/>
                    <a:stretch>
                      <a:fillRect/>
                    </a:stretch>
                  </pic:blipFill>
                  <pic:spPr>
                    <a:xfrm>
                      <a:off x="0" y="0"/>
                      <a:ext cx="7206615" cy="3706495"/>
                    </a:xfrm>
                    <a:prstGeom prst="rect">
                      <a:avLst/>
                    </a:prstGeom>
                  </pic:spPr>
                </pic:pic>
              </a:graphicData>
            </a:graphic>
          </wp:inline>
        </w:drawing>
      </w:r>
    </w:p>
    <w:p w14:paraId="66FEED01">
      <w:pPr>
        <w:jc w:val="both"/>
        <w:rPr>
          <w:rFonts w:hint="default" w:ascii="Times New Roman" w:hAnsi="Times New Roman" w:cs="Times New Roman"/>
          <w:b/>
          <w:bCs/>
          <w:color w:val="000000"/>
          <w:sz w:val="48"/>
          <w:szCs w:val="48"/>
          <w:lang w:val="en-US"/>
        </w:rPr>
      </w:pPr>
    </w:p>
    <w:p w14:paraId="0CDCF331">
      <w:pPr>
        <w:jc w:val="both"/>
        <w:rPr>
          <w:rFonts w:hint="default" w:ascii="Times New Roman" w:hAnsi="Times New Roman" w:cs="Times New Roman"/>
          <w:b/>
          <w:bCs/>
          <w:color w:val="000000"/>
          <w:sz w:val="48"/>
          <w:szCs w:val="48"/>
          <w:lang w:val="en-US"/>
        </w:rPr>
      </w:pPr>
      <w:r>
        <w:rPr>
          <w:rFonts w:hint="default" w:ascii="Times New Roman" w:hAnsi="Times New Roman" w:cs="Times New Roman"/>
          <w:b/>
          <w:bCs/>
          <w:color w:val="000000"/>
          <w:sz w:val="48"/>
          <w:szCs w:val="48"/>
          <w:lang w:val="en-US"/>
        </w:rPr>
        <w:t>Revenue by State</w:t>
      </w:r>
    </w:p>
    <w:p w14:paraId="5749887A">
      <w:pPr>
        <w:jc w:val="both"/>
        <w:rPr>
          <w:rFonts w:hint="default" w:ascii="Times New Roman" w:hAnsi="Times New Roman" w:cs="Times New Roman"/>
          <w:b/>
          <w:bCs/>
          <w:color w:val="000000"/>
          <w:sz w:val="48"/>
          <w:szCs w:val="48"/>
          <w:lang w:val="en-US"/>
        </w:rPr>
      </w:pPr>
    </w:p>
    <w:p w14:paraId="1FECD7D4">
      <w:pPr>
        <w:pStyle w:val="2"/>
        <w:keepNext w:val="0"/>
        <w:keepLines w:val="0"/>
        <w:widowControl/>
        <w:suppressLineNumbers w:val="0"/>
      </w:pPr>
      <w:r>
        <w:t xml:space="preserve">1. </w:t>
      </w:r>
      <w:r>
        <w:rPr>
          <w:rStyle w:val="7"/>
          <w:b/>
          <w:bCs/>
        </w:rPr>
        <w:t>Data Representation:</w:t>
      </w:r>
    </w:p>
    <w:p w14:paraId="53C624C9">
      <w:pPr>
        <w:keepNext w:val="0"/>
        <w:keepLines w:val="0"/>
        <w:widowControl/>
        <w:numPr>
          <w:ilvl w:val="0"/>
          <w:numId w:val="1"/>
        </w:numPr>
        <w:suppressLineNumbers w:val="0"/>
        <w:spacing w:before="0" w:beforeAutospacing="1" w:after="0" w:afterAutospacing="1"/>
        <w:ind w:left="720" w:hanging="360"/>
      </w:pPr>
      <w:r>
        <w:rPr>
          <w:rStyle w:val="7"/>
        </w:rPr>
        <w:t>Map</w:t>
      </w:r>
      <w:r>
        <w:t xml:space="preserve">: A  map </w:t>
      </w:r>
      <w:r>
        <w:rPr>
          <w:rFonts w:hint="default"/>
          <w:lang w:val="en-US"/>
        </w:rPr>
        <w:t xml:space="preserve">chart </w:t>
      </w:r>
      <w:r>
        <w:t>has been used to visually represent revenue data by shading the states in different colors based on their revenue totals.</w:t>
      </w:r>
    </w:p>
    <w:p w14:paraId="15AAE2DC">
      <w:pPr>
        <w:keepNext w:val="0"/>
        <w:keepLines w:val="0"/>
        <w:widowControl/>
        <w:numPr>
          <w:ilvl w:val="1"/>
          <w:numId w:val="1"/>
        </w:numPr>
        <w:suppressLineNumbers w:val="0"/>
        <w:spacing w:before="0" w:beforeAutospacing="1" w:after="0" w:afterAutospacing="1"/>
        <w:ind w:left="1440" w:hanging="360"/>
      </w:pPr>
      <w:r>
        <w:t>Darker red colors indicate higher revenue.</w:t>
      </w:r>
    </w:p>
    <w:p w14:paraId="0D0A0BFD">
      <w:pPr>
        <w:keepNext w:val="0"/>
        <w:keepLines w:val="0"/>
        <w:widowControl/>
        <w:numPr>
          <w:ilvl w:val="1"/>
          <w:numId w:val="1"/>
        </w:numPr>
        <w:suppressLineNumbers w:val="0"/>
        <w:spacing w:before="0" w:beforeAutospacing="1" w:after="0" w:afterAutospacing="1"/>
        <w:ind w:left="1440" w:hanging="360"/>
        <w:rPr>
          <w:rFonts w:hint="default"/>
          <w:lang w:val="en-US"/>
        </w:rPr>
      </w:pPr>
      <w:r>
        <w:t>Lighter colors indicate lower revenue.</w:t>
      </w:r>
    </w:p>
    <w:p w14:paraId="31F82B22">
      <w:pPr>
        <w:pStyle w:val="2"/>
        <w:keepNext w:val="0"/>
        <w:keepLines w:val="0"/>
        <w:widowControl/>
        <w:suppressLineNumbers w:val="0"/>
      </w:pPr>
      <w:r>
        <w:t xml:space="preserve">2. </w:t>
      </w:r>
      <w:r>
        <w:rPr>
          <w:rStyle w:val="7"/>
          <w:b/>
          <w:bCs/>
        </w:rPr>
        <w:t>Revenue Labels on Each State:</w:t>
      </w:r>
    </w:p>
    <w:p w14:paraId="60A075DF">
      <w:pPr>
        <w:keepNext w:val="0"/>
        <w:keepLines w:val="0"/>
        <w:widowControl/>
        <w:numPr>
          <w:ilvl w:val="0"/>
          <w:numId w:val="2"/>
        </w:numPr>
        <w:suppressLineNumbers w:val="0"/>
        <w:spacing w:before="0" w:beforeAutospacing="1" w:after="0" w:afterAutospacing="1"/>
        <w:ind w:left="720" w:hanging="360"/>
      </w:pPr>
      <w:r>
        <w:t>The total revenue for each state is displayed directly on the map inside each state boundary. For example:</w:t>
      </w:r>
    </w:p>
    <w:p w14:paraId="1D5B12CA">
      <w:pPr>
        <w:keepNext w:val="0"/>
        <w:keepLines w:val="0"/>
        <w:widowControl/>
        <w:numPr>
          <w:ilvl w:val="1"/>
          <w:numId w:val="2"/>
        </w:numPr>
        <w:suppressLineNumbers w:val="0"/>
        <w:spacing w:before="0" w:beforeAutospacing="1" w:after="0" w:afterAutospacing="1"/>
        <w:ind w:left="1440" w:hanging="360"/>
      </w:pPr>
      <w:r>
        <w:rPr>
          <w:rStyle w:val="7"/>
        </w:rPr>
        <w:t>Texas</w:t>
      </w:r>
      <w:r>
        <w:t>: $2.0M</w:t>
      </w:r>
    </w:p>
    <w:p w14:paraId="261A2235">
      <w:pPr>
        <w:keepNext w:val="0"/>
        <w:keepLines w:val="0"/>
        <w:widowControl/>
        <w:numPr>
          <w:ilvl w:val="1"/>
          <w:numId w:val="2"/>
        </w:numPr>
        <w:suppressLineNumbers w:val="0"/>
        <w:spacing w:before="0" w:beforeAutospacing="1" w:after="0" w:afterAutospacing="1"/>
        <w:ind w:left="1440" w:hanging="360"/>
      </w:pPr>
      <w:r>
        <w:rPr>
          <w:rStyle w:val="7"/>
        </w:rPr>
        <w:t>Florida</w:t>
      </w:r>
      <w:r>
        <w:t>: $1.4M</w:t>
      </w:r>
    </w:p>
    <w:p w14:paraId="2944DE31">
      <w:pPr>
        <w:keepNext w:val="0"/>
        <w:keepLines w:val="0"/>
        <w:widowControl/>
        <w:numPr>
          <w:ilvl w:val="1"/>
          <w:numId w:val="2"/>
        </w:numPr>
        <w:suppressLineNumbers w:val="0"/>
        <w:spacing w:before="0" w:beforeAutospacing="1" w:after="0" w:afterAutospacing="1"/>
        <w:ind w:left="1440" w:hanging="360"/>
      </w:pPr>
      <w:r>
        <w:rPr>
          <w:rStyle w:val="7"/>
        </w:rPr>
        <w:t>California</w:t>
      </w:r>
      <w:r>
        <w:t>: $0.8M</w:t>
      </w:r>
    </w:p>
    <w:p w14:paraId="153DC71B">
      <w:pPr>
        <w:keepNext w:val="0"/>
        <w:keepLines w:val="0"/>
        <w:widowControl/>
        <w:numPr>
          <w:ilvl w:val="1"/>
          <w:numId w:val="2"/>
        </w:numPr>
        <w:suppressLineNumbers w:val="0"/>
        <w:spacing w:before="0" w:beforeAutospacing="1" w:after="0" w:afterAutospacing="1"/>
        <w:ind w:left="1440" w:hanging="360"/>
      </w:pPr>
      <w:r>
        <w:rPr>
          <w:rStyle w:val="7"/>
        </w:rPr>
        <w:t>Alaska</w:t>
      </w:r>
      <w:r>
        <w:t>: $0.1M</w:t>
      </w:r>
    </w:p>
    <w:p w14:paraId="49F5FE2C">
      <w:pPr>
        <w:pStyle w:val="2"/>
        <w:keepNext w:val="0"/>
        <w:keepLines w:val="0"/>
        <w:widowControl/>
        <w:suppressLineNumbers w:val="0"/>
      </w:pPr>
      <w:r>
        <w:t>In summary:</w:t>
      </w:r>
    </w:p>
    <w:p w14:paraId="04DB26A3">
      <w:pPr>
        <w:pStyle w:val="6"/>
        <w:keepNext w:val="0"/>
        <w:keepLines w:val="0"/>
        <w:widowControl/>
        <w:suppressLineNumbers w:val="0"/>
      </w:pPr>
      <w:r>
        <w:t>The map visualizes revenue data across U.S. states by varying the color intensity of each state according to its revenue total. This gives an easy-to-understand, at-a-glance view of which states are generating the most and least revenue, with Texas and Florida standing out as major contributors</w:t>
      </w:r>
    </w:p>
    <w:p w14:paraId="7DE93631">
      <w:pPr>
        <w:pStyle w:val="6"/>
        <w:keepNext w:val="0"/>
        <w:keepLines w:val="0"/>
        <w:widowControl/>
        <w:suppressLineNumbers w:val="0"/>
      </w:pPr>
    </w:p>
    <w:p w14:paraId="24B4F533">
      <w:pPr>
        <w:pStyle w:val="6"/>
        <w:keepNext w:val="0"/>
        <w:keepLines w:val="0"/>
        <w:widowControl/>
        <w:suppressLineNumbers w:val="0"/>
      </w:pPr>
    </w:p>
    <w:p w14:paraId="2B0B4BE4">
      <w:pPr>
        <w:pStyle w:val="6"/>
        <w:keepNext w:val="0"/>
        <w:keepLines w:val="0"/>
        <w:widowControl/>
        <w:suppressLineNumbers w:val="0"/>
      </w:pPr>
    </w:p>
    <w:p w14:paraId="5B199C55">
      <w:pPr>
        <w:jc w:val="both"/>
        <w:rPr>
          <w:rFonts w:hint="default" w:ascii="Times New Roman" w:hAnsi="Times New Roman" w:cs="Times New Roman"/>
          <w:b/>
          <w:bCs/>
          <w:color w:val="000000"/>
          <w:sz w:val="48"/>
          <w:szCs w:val="48"/>
          <w:lang w:val="en-US"/>
        </w:rPr>
      </w:pPr>
      <w:r>
        <w:rPr>
          <w:rFonts w:hint="default" w:ascii="Times New Roman" w:hAnsi="Times New Roman" w:cs="Times New Roman"/>
          <w:b/>
          <w:bCs/>
          <w:color w:val="000000"/>
          <w:sz w:val="48"/>
          <w:szCs w:val="48"/>
          <w:lang w:val="en-US"/>
        </w:rPr>
        <w:drawing>
          <wp:inline distT="0" distB="0" distL="114300" distR="114300">
            <wp:extent cx="5269865" cy="3371850"/>
            <wp:effectExtent l="0" t="0" r="6985"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
                    <pic:cNvPicPr>
                      <a:picLocks noChangeAspect="1"/>
                    </pic:cNvPicPr>
                  </pic:nvPicPr>
                  <pic:blipFill>
                    <a:blip r:embed="rId7"/>
                    <a:stretch>
                      <a:fillRect/>
                    </a:stretch>
                  </pic:blipFill>
                  <pic:spPr>
                    <a:xfrm>
                      <a:off x="0" y="0"/>
                      <a:ext cx="5269865" cy="3371850"/>
                    </a:xfrm>
                    <a:prstGeom prst="rect">
                      <a:avLst/>
                    </a:prstGeom>
                  </pic:spPr>
                </pic:pic>
              </a:graphicData>
            </a:graphic>
          </wp:inline>
        </w:drawing>
      </w:r>
    </w:p>
    <w:p w14:paraId="0E0DE115">
      <w:pPr>
        <w:jc w:val="both"/>
        <w:rPr>
          <w:rFonts w:hint="default" w:ascii="Times New Roman" w:hAnsi="Times New Roman" w:cs="Times New Roman"/>
          <w:b/>
          <w:bCs/>
          <w:color w:val="000000"/>
          <w:sz w:val="48"/>
          <w:szCs w:val="48"/>
          <w:lang w:val="en-US"/>
        </w:rPr>
      </w:pPr>
    </w:p>
    <w:p w14:paraId="7EFCA3CF">
      <w:pPr>
        <w:jc w:val="both"/>
        <w:rPr>
          <w:rFonts w:hint="default" w:ascii="Times New Roman" w:hAnsi="Times New Roman" w:cs="Times New Roman"/>
          <w:b/>
          <w:bCs/>
          <w:color w:val="000000"/>
          <w:sz w:val="48"/>
          <w:szCs w:val="48"/>
          <w:lang w:val="en-US"/>
        </w:rPr>
      </w:pPr>
      <w:r>
        <w:rPr>
          <w:rFonts w:hint="default" w:ascii="Times New Roman" w:hAnsi="Times New Roman" w:cs="Times New Roman"/>
          <w:b/>
          <w:bCs/>
          <w:color w:val="000000"/>
          <w:sz w:val="48"/>
          <w:szCs w:val="48"/>
          <w:lang w:val="en-US"/>
        </w:rPr>
        <w:t>Revenue per Month:</w:t>
      </w:r>
    </w:p>
    <w:p w14:paraId="2980D339">
      <w:pPr>
        <w:jc w:val="both"/>
        <w:rPr>
          <w:rFonts w:hint="default" w:ascii="Times New Roman" w:hAnsi="Times New Roman" w:cs="Times New Roman"/>
          <w:b/>
          <w:bCs/>
          <w:color w:val="000000"/>
          <w:sz w:val="48"/>
          <w:szCs w:val="48"/>
          <w:lang w:val="en-US"/>
        </w:rPr>
      </w:pPr>
    </w:p>
    <w:p w14:paraId="03540A0B">
      <w:pPr>
        <w:pStyle w:val="6"/>
        <w:keepNext w:val="0"/>
        <w:keepLines w:val="0"/>
        <w:widowControl/>
        <w:suppressLineNumbers w:val="0"/>
      </w:pPr>
      <w:r>
        <w:t xml:space="preserve">The image represents a </w:t>
      </w:r>
      <w:r>
        <w:rPr>
          <w:rStyle w:val="7"/>
        </w:rPr>
        <w:t>line chart</w:t>
      </w:r>
      <w:r>
        <w:t xml:space="preserve"> depicting </w:t>
      </w:r>
      <w:r>
        <w:rPr>
          <w:rStyle w:val="7"/>
        </w:rPr>
        <w:t>monthly revenue trends</w:t>
      </w:r>
      <w:r>
        <w:t xml:space="preserve"> over a period from </w:t>
      </w:r>
      <w:r>
        <w:rPr>
          <w:rStyle w:val="7"/>
        </w:rPr>
        <w:t>October 2020 to September 2021</w:t>
      </w:r>
      <w:r>
        <w:t>. Here's a breakdown of what has been done in this visualization:</w:t>
      </w:r>
    </w:p>
    <w:p w14:paraId="60E57445">
      <w:pPr>
        <w:pStyle w:val="2"/>
        <w:keepNext w:val="0"/>
        <w:keepLines w:val="0"/>
        <w:widowControl/>
        <w:suppressLineNumbers w:val="0"/>
      </w:pPr>
      <w:r>
        <w:t xml:space="preserve"> </w:t>
      </w:r>
    </w:p>
    <w:p w14:paraId="6ECD13DA">
      <w:pPr>
        <w:keepNext w:val="0"/>
        <w:keepLines w:val="0"/>
        <w:widowControl/>
        <w:numPr>
          <w:numId w:val="0"/>
        </w:numPr>
        <w:suppressLineNumbers w:val="0"/>
        <w:spacing w:before="0" w:beforeAutospacing="1" w:after="0" w:afterAutospacing="1"/>
      </w:pPr>
    </w:p>
    <w:p w14:paraId="1139643B">
      <w:pPr>
        <w:keepNext w:val="0"/>
        <w:keepLines w:val="0"/>
        <w:widowControl/>
        <w:numPr>
          <w:numId w:val="0"/>
        </w:numPr>
        <w:suppressLineNumbers w:val="0"/>
        <w:spacing w:before="0" w:beforeAutospacing="1" w:after="0" w:afterAutospacing="1"/>
        <w:ind w:left="360" w:leftChars="0"/>
      </w:pPr>
      <w:r>
        <w:rPr>
          <w:rStyle w:val="7"/>
          <w:b/>
          <w:bCs/>
        </w:rPr>
        <w:t>Revenue Over Time:</w:t>
      </w:r>
    </w:p>
    <w:p w14:paraId="57A7F30F">
      <w:pPr>
        <w:keepNext w:val="0"/>
        <w:keepLines w:val="0"/>
        <w:widowControl/>
        <w:numPr>
          <w:ilvl w:val="0"/>
          <w:numId w:val="3"/>
        </w:numPr>
        <w:suppressLineNumbers w:val="0"/>
        <w:spacing w:before="0" w:beforeAutospacing="1" w:after="0" w:afterAutospacing="1"/>
        <w:ind w:left="720" w:hanging="360"/>
      </w:pPr>
      <w:r>
        <w:t xml:space="preserve">The line chart plots revenue data for each month over a one-year period, showing </w:t>
      </w:r>
      <w:r>
        <w:rPr>
          <w:rStyle w:val="7"/>
        </w:rPr>
        <w:t>peaks</w:t>
      </w:r>
      <w:r>
        <w:t xml:space="preserve"> and </w:t>
      </w:r>
      <w:r>
        <w:rPr>
          <w:rStyle w:val="7"/>
        </w:rPr>
        <w:t>valleys</w:t>
      </w:r>
      <w:r>
        <w:t xml:space="preserve"> in revenue totals.</w:t>
      </w:r>
    </w:p>
    <w:p w14:paraId="611FA002">
      <w:pPr>
        <w:keepNext w:val="0"/>
        <w:keepLines w:val="0"/>
        <w:widowControl/>
        <w:numPr>
          <w:ilvl w:val="0"/>
          <w:numId w:val="3"/>
        </w:numPr>
        <w:suppressLineNumbers w:val="0"/>
        <w:spacing w:before="0" w:beforeAutospacing="1" w:after="0" w:afterAutospacing="1"/>
        <w:ind w:left="720" w:hanging="360"/>
      </w:pPr>
      <w:r>
        <w:t xml:space="preserve">The Y-axis represents the </w:t>
      </w:r>
      <w:r>
        <w:rPr>
          <w:rStyle w:val="7"/>
        </w:rPr>
        <w:t>revenue amounts</w:t>
      </w:r>
      <w:r>
        <w:t xml:space="preserve"> (in millions), ranging from </w:t>
      </w:r>
      <w:r>
        <w:rPr>
          <w:rStyle w:val="7"/>
        </w:rPr>
        <w:t>$0.6M</w:t>
      </w:r>
      <w:r>
        <w:t xml:space="preserve"> to </w:t>
      </w:r>
      <w:r>
        <w:rPr>
          <w:rStyle w:val="7"/>
        </w:rPr>
        <w:t>$9.7M</w:t>
      </w:r>
      <w:r>
        <w:t>.</w:t>
      </w:r>
    </w:p>
    <w:p w14:paraId="30E33D2A">
      <w:pPr>
        <w:keepNext w:val="0"/>
        <w:keepLines w:val="0"/>
        <w:widowControl/>
        <w:numPr>
          <w:ilvl w:val="0"/>
          <w:numId w:val="3"/>
        </w:numPr>
        <w:suppressLineNumbers w:val="0"/>
        <w:spacing w:before="0" w:beforeAutospacing="1" w:after="0" w:afterAutospacing="1"/>
        <w:ind w:left="720" w:hanging="360"/>
      </w:pPr>
      <w:r>
        <w:t xml:space="preserve">The X-axis represents the </w:t>
      </w:r>
      <w:r>
        <w:rPr>
          <w:rStyle w:val="7"/>
        </w:rPr>
        <w:t>months</w:t>
      </w:r>
      <w:r>
        <w:t xml:space="preserve">, starting from </w:t>
      </w:r>
      <w:r>
        <w:rPr>
          <w:rStyle w:val="7"/>
        </w:rPr>
        <w:t>October 2020</w:t>
      </w:r>
      <w:r>
        <w:t xml:space="preserve"> to </w:t>
      </w:r>
      <w:r>
        <w:rPr>
          <w:rStyle w:val="7"/>
        </w:rPr>
        <w:t>September 2021</w:t>
      </w:r>
      <w:r>
        <w:t>.</w:t>
      </w:r>
    </w:p>
    <w:p w14:paraId="028F867C">
      <w:pPr>
        <w:pStyle w:val="2"/>
        <w:keepNext w:val="0"/>
        <w:keepLines w:val="0"/>
        <w:widowControl/>
        <w:suppressLineNumbers w:val="0"/>
      </w:pPr>
      <w:r>
        <w:rPr>
          <w:rStyle w:val="7"/>
          <w:b/>
          <w:bCs/>
        </w:rPr>
        <w:t>Line Gradient and Color Scale:</w:t>
      </w:r>
    </w:p>
    <w:p w14:paraId="3FDE7F52">
      <w:pPr>
        <w:keepNext w:val="0"/>
        <w:keepLines w:val="0"/>
        <w:widowControl/>
        <w:numPr>
          <w:ilvl w:val="0"/>
          <w:numId w:val="4"/>
        </w:numPr>
        <w:suppressLineNumbers w:val="0"/>
        <w:spacing w:before="0" w:beforeAutospacing="1" w:after="0" w:afterAutospacing="1"/>
        <w:ind w:left="720" w:hanging="360"/>
      </w:pPr>
      <w:r>
        <w:t xml:space="preserve">The line uses a gradient color that transitions from </w:t>
      </w:r>
      <w:r>
        <w:rPr>
          <w:rStyle w:val="7"/>
        </w:rPr>
        <w:t>light pink</w:t>
      </w:r>
      <w:r>
        <w:t xml:space="preserve"> to </w:t>
      </w:r>
      <w:r>
        <w:rPr>
          <w:rStyle w:val="7"/>
        </w:rPr>
        <w:t>darker purple</w:t>
      </w:r>
      <w:r>
        <w:t xml:space="preserve"> at higher revenue points, corresponding to the </w:t>
      </w:r>
      <w:r>
        <w:rPr>
          <w:rStyle w:val="7"/>
        </w:rPr>
        <w:t>legend</w:t>
      </w:r>
      <w:r>
        <w:t xml:space="preserve"> on the right side.</w:t>
      </w:r>
    </w:p>
    <w:p w14:paraId="14A13F27">
      <w:pPr>
        <w:keepNext w:val="0"/>
        <w:keepLines w:val="0"/>
        <w:widowControl/>
        <w:numPr>
          <w:ilvl w:val="0"/>
          <w:numId w:val="4"/>
        </w:numPr>
        <w:suppressLineNumbers w:val="0"/>
        <w:spacing w:before="0" w:beforeAutospacing="1" w:after="0" w:afterAutospacing="1"/>
        <w:ind w:left="720" w:hanging="360"/>
      </w:pPr>
      <w:r>
        <w:t xml:space="preserve">The legend shows a scale from </w:t>
      </w:r>
      <w:r>
        <w:rPr>
          <w:rStyle w:val="7"/>
        </w:rPr>
        <w:t>$0.6M to $9.7M</w:t>
      </w:r>
      <w:r>
        <w:t>, allowing viewers to understand the variations in color intensity relative to the revenue amounts.</w:t>
      </w:r>
    </w:p>
    <w:p w14:paraId="62E0F95B">
      <w:pPr>
        <w:keepNext w:val="0"/>
        <w:keepLines w:val="0"/>
        <w:widowControl/>
        <w:numPr>
          <w:numId w:val="0"/>
        </w:numPr>
        <w:suppressLineNumbers w:val="0"/>
        <w:spacing w:before="0" w:beforeAutospacing="1" w:after="0" w:afterAutospacing="1"/>
        <w:ind w:left="360" w:leftChars="0"/>
      </w:pPr>
    </w:p>
    <w:p w14:paraId="1CDD49D7">
      <w:pPr>
        <w:pStyle w:val="2"/>
        <w:keepNext w:val="0"/>
        <w:keepLines w:val="0"/>
        <w:widowControl/>
        <w:suppressLineNumbers w:val="0"/>
        <w:jc w:val="both"/>
      </w:pPr>
      <w:r>
        <w:t>In summary:</w:t>
      </w:r>
    </w:p>
    <w:p w14:paraId="6F067471">
      <w:pPr>
        <w:pStyle w:val="6"/>
        <w:keepNext w:val="0"/>
        <w:keepLines w:val="0"/>
        <w:widowControl/>
        <w:suppressLineNumbers w:val="0"/>
        <w:jc w:val="both"/>
      </w:pPr>
      <w:r>
        <w:t>This line chart presents the monthly revenue data over a year, showing significant fluctuations. The peak in December 2020 ($9.7M) contrasts sharply with the drop in February 2021 ($0.6M). The chart provides a visual representation of how revenue changes month by month, using color gradients to enhance clarity.</w:t>
      </w:r>
    </w:p>
    <w:p w14:paraId="005F31B7">
      <w:pPr>
        <w:pStyle w:val="6"/>
        <w:keepNext w:val="0"/>
        <w:keepLines w:val="0"/>
        <w:widowControl/>
        <w:suppressLineNumbers w:val="0"/>
        <w:jc w:val="both"/>
        <w:rPr>
          <w:rFonts w:hint="default"/>
          <w:lang w:val="en-US"/>
        </w:rPr>
      </w:pPr>
      <w:r>
        <w:rPr>
          <w:rFonts w:hint="default"/>
          <w:lang w:val="en-US"/>
        </w:rPr>
        <w:drawing>
          <wp:inline distT="0" distB="0" distL="114300" distR="114300">
            <wp:extent cx="5270500" cy="4960620"/>
            <wp:effectExtent l="0" t="0" r="6350" b="11430"/>
            <wp:docPr id="3" name="Picture 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
                    <pic:cNvPicPr>
                      <a:picLocks noChangeAspect="1"/>
                    </pic:cNvPicPr>
                  </pic:nvPicPr>
                  <pic:blipFill>
                    <a:blip r:embed="rId8"/>
                    <a:stretch>
                      <a:fillRect/>
                    </a:stretch>
                  </pic:blipFill>
                  <pic:spPr>
                    <a:xfrm>
                      <a:off x="0" y="0"/>
                      <a:ext cx="5270500" cy="4960620"/>
                    </a:xfrm>
                    <a:prstGeom prst="rect">
                      <a:avLst/>
                    </a:prstGeom>
                  </pic:spPr>
                </pic:pic>
              </a:graphicData>
            </a:graphic>
          </wp:inline>
        </w:drawing>
      </w:r>
    </w:p>
    <w:p w14:paraId="37852CC5">
      <w:pPr>
        <w:pStyle w:val="6"/>
        <w:keepNext w:val="0"/>
        <w:keepLines w:val="0"/>
        <w:widowControl/>
        <w:suppressLineNumbers w:val="0"/>
        <w:jc w:val="both"/>
        <w:rPr>
          <w:rFonts w:hint="default"/>
          <w:lang w:val="en-US"/>
        </w:rPr>
      </w:pPr>
    </w:p>
    <w:p w14:paraId="3B420FA1">
      <w:pPr>
        <w:pStyle w:val="2"/>
        <w:keepNext w:val="0"/>
        <w:keepLines w:val="0"/>
        <w:widowControl/>
        <w:suppressLineNumbers w:val="0"/>
      </w:pPr>
      <w:r>
        <w:t xml:space="preserve">1. </w:t>
      </w:r>
      <w:r>
        <w:rPr>
          <w:rStyle w:val="7"/>
          <w:b/>
          <w:bCs/>
        </w:rPr>
        <w:t>Revenue Grouped by Age:</w:t>
      </w:r>
    </w:p>
    <w:p w14:paraId="0A373405">
      <w:pPr>
        <w:keepNext w:val="0"/>
        <w:keepLines w:val="0"/>
        <w:widowControl/>
        <w:numPr>
          <w:ilvl w:val="0"/>
          <w:numId w:val="5"/>
        </w:numPr>
        <w:suppressLineNumbers w:val="0"/>
        <w:spacing w:before="0" w:beforeAutospacing="1" w:after="0" w:afterAutospacing="1"/>
        <w:ind w:left="720" w:hanging="360"/>
      </w:pPr>
      <w:r>
        <w:t xml:space="preserve">The X-axis represents different </w:t>
      </w:r>
      <w:r>
        <w:rPr>
          <w:rStyle w:val="7"/>
        </w:rPr>
        <w:t>age groups</w:t>
      </w:r>
      <w:r>
        <w:t>:</w:t>
      </w:r>
    </w:p>
    <w:p w14:paraId="55D33E62">
      <w:pPr>
        <w:keepNext w:val="0"/>
        <w:keepLines w:val="0"/>
        <w:widowControl/>
        <w:numPr>
          <w:ilvl w:val="1"/>
          <w:numId w:val="5"/>
        </w:numPr>
        <w:suppressLineNumbers w:val="0"/>
        <w:spacing w:before="0" w:beforeAutospacing="1" w:after="0" w:afterAutospacing="1"/>
        <w:ind w:left="1440" w:hanging="360"/>
      </w:pPr>
      <w:r>
        <w:rPr>
          <w:rStyle w:val="7"/>
        </w:rPr>
        <w:t>&lt;20</w:t>
      </w:r>
    </w:p>
    <w:p w14:paraId="5077CCA1">
      <w:pPr>
        <w:keepNext w:val="0"/>
        <w:keepLines w:val="0"/>
        <w:widowControl/>
        <w:numPr>
          <w:ilvl w:val="1"/>
          <w:numId w:val="5"/>
        </w:numPr>
        <w:suppressLineNumbers w:val="0"/>
        <w:spacing w:before="0" w:beforeAutospacing="1" w:after="0" w:afterAutospacing="1"/>
        <w:ind w:left="1440" w:hanging="360"/>
      </w:pPr>
      <w:r>
        <w:rPr>
          <w:rStyle w:val="7"/>
        </w:rPr>
        <w:t>20-30</w:t>
      </w:r>
    </w:p>
    <w:p w14:paraId="66F38010">
      <w:pPr>
        <w:keepNext w:val="0"/>
        <w:keepLines w:val="0"/>
        <w:widowControl/>
        <w:numPr>
          <w:ilvl w:val="1"/>
          <w:numId w:val="5"/>
        </w:numPr>
        <w:suppressLineNumbers w:val="0"/>
        <w:spacing w:before="0" w:beforeAutospacing="1" w:after="0" w:afterAutospacing="1"/>
        <w:ind w:left="1440" w:hanging="360"/>
      </w:pPr>
      <w:r>
        <w:rPr>
          <w:rStyle w:val="7"/>
        </w:rPr>
        <w:t>30-40</w:t>
      </w:r>
    </w:p>
    <w:p w14:paraId="0A13579D">
      <w:pPr>
        <w:keepNext w:val="0"/>
        <w:keepLines w:val="0"/>
        <w:widowControl/>
        <w:numPr>
          <w:ilvl w:val="1"/>
          <w:numId w:val="5"/>
        </w:numPr>
        <w:suppressLineNumbers w:val="0"/>
        <w:spacing w:before="0" w:beforeAutospacing="1" w:after="0" w:afterAutospacing="1"/>
        <w:ind w:left="1440" w:hanging="360"/>
      </w:pPr>
      <w:r>
        <w:rPr>
          <w:rStyle w:val="7"/>
        </w:rPr>
        <w:t>40-50</w:t>
      </w:r>
    </w:p>
    <w:p w14:paraId="35791731">
      <w:pPr>
        <w:keepNext w:val="0"/>
        <w:keepLines w:val="0"/>
        <w:widowControl/>
        <w:numPr>
          <w:ilvl w:val="1"/>
          <w:numId w:val="5"/>
        </w:numPr>
        <w:suppressLineNumbers w:val="0"/>
        <w:spacing w:before="0" w:beforeAutospacing="1" w:after="0" w:afterAutospacing="1"/>
        <w:ind w:left="1440" w:hanging="360"/>
      </w:pPr>
      <w:r>
        <w:rPr>
          <w:rStyle w:val="7"/>
        </w:rPr>
        <w:t>50-60</w:t>
      </w:r>
    </w:p>
    <w:p w14:paraId="230DBC0E">
      <w:pPr>
        <w:keepNext w:val="0"/>
        <w:keepLines w:val="0"/>
        <w:widowControl/>
        <w:numPr>
          <w:ilvl w:val="1"/>
          <w:numId w:val="5"/>
        </w:numPr>
        <w:suppressLineNumbers w:val="0"/>
        <w:spacing w:before="0" w:beforeAutospacing="1" w:after="0" w:afterAutospacing="1"/>
        <w:ind w:left="1440" w:hanging="360"/>
      </w:pPr>
      <w:r>
        <w:rPr>
          <w:rStyle w:val="7"/>
        </w:rPr>
        <w:t>60-70</w:t>
      </w:r>
    </w:p>
    <w:p w14:paraId="657D7D7C">
      <w:pPr>
        <w:keepNext w:val="0"/>
        <w:keepLines w:val="0"/>
        <w:widowControl/>
        <w:numPr>
          <w:ilvl w:val="1"/>
          <w:numId w:val="5"/>
        </w:numPr>
        <w:suppressLineNumbers w:val="0"/>
        <w:spacing w:before="0" w:beforeAutospacing="1" w:after="0" w:afterAutospacing="1"/>
        <w:ind w:left="1440" w:hanging="360"/>
      </w:pPr>
      <w:r>
        <w:rPr>
          <w:rStyle w:val="7"/>
        </w:rPr>
        <w:t>&gt;70</w:t>
      </w:r>
    </w:p>
    <w:p w14:paraId="4BE7BC8C">
      <w:pPr>
        <w:keepNext w:val="0"/>
        <w:keepLines w:val="0"/>
        <w:widowControl/>
        <w:numPr>
          <w:ilvl w:val="0"/>
          <w:numId w:val="5"/>
        </w:numPr>
        <w:suppressLineNumbers w:val="0"/>
        <w:spacing w:before="0" w:beforeAutospacing="1" w:after="0" w:afterAutospacing="1"/>
        <w:ind w:left="720" w:hanging="360"/>
      </w:pPr>
      <w:r>
        <w:t xml:space="preserve">The Y-axis represents </w:t>
      </w:r>
      <w:r>
        <w:rPr>
          <w:rStyle w:val="7"/>
        </w:rPr>
        <w:t>revenue amounts</w:t>
      </w:r>
      <w:r>
        <w:t xml:space="preserve"> in millions of dollars.</w:t>
      </w:r>
    </w:p>
    <w:p w14:paraId="56ECC1CD">
      <w:pPr>
        <w:pStyle w:val="2"/>
        <w:keepNext w:val="0"/>
        <w:keepLines w:val="0"/>
        <w:widowControl/>
        <w:suppressLineNumbers w:val="0"/>
      </w:pPr>
      <w:r>
        <w:t xml:space="preserve">2. </w:t>
      </w:r>
      <w:r>
        <w:rPr>
          <w:rStyle w:val="7"/>
          <w:b/>
          <w:bCs/>
        </w:rPr>
        <w:t>Revenue Amounts:</w:t>
      </w:r>
    </w:p>
    <w:p w14:paraId="0D69E304">
      <w:pPr>
        <w:keepNext w:val="0"/>
        <w:keepLines w:val="0"/>
        <w:widowControl/>
        <w:numPr>
          <w:ilvl w:val="0"/>
          <w:numId w:val="6"/>
        </w:numPr>
        <w:suppressLineNumbers w:val="0"/>
        <w:spacing w:before="0" w:beforeAutospacing="1" w:after="0" w:afterAutospacing="1"/>
        <w:ind w:left="720" w:hanging="360"/>
      </w:pPr>
      <w:r>
        <w:t>Each age group’s revenue is represented by the height of its respective bar. The revenue amounts are also labeled at the top of each bar:</w:t>
      </w:r>
    </w:p>
    <w:p w14:paraId="02476D16">
      <w:pPr>
        <w:keepNext w:val="0"/>
        <w:keepLines w:val="0"/>
        <w:widowControl/>
        <w:numPr>
          <w:ilvl w:val="1"/>
          <w:numId w:val="6"/>
        </w:numPr>
        <w:suppressLineNumbers w:val="0"/>
        <w:spacing w:before="0" w:beforeAutospacing="1" w:after="0" w:afterAutospacing="1"/>
        <w:ind w:left="1440" w:hanging="360"/>
      </w:pPr>
      <w:r>
        <w:rPr>
          <w:rStyle w:val="7"/>
        </w:rPr>
        <w:t>&lt;20</w:t>
      </w:r>
      <w:r>
        <w:t>: $7.0M (smallest revenue)</w:t>
      </w:r>
    </w:p>
    <w:p w14:paraId="272C6A34">
      <w:pPr>
        <w:keepNext w:val="0"/>
        <w:keepLines w:val="0"/>
        <w:widowControl/>
        <w:numPr>
          <w:ilvl w:val="1"/>
          <w:numId w:val="6"/>
        </w:numPr>
        <w:suppressLineNumbers w:val="0"/>
        <w:spacing w:before="0" w:beforeAutospacing="1" w:after="0" w:afterAutospacing="1"/>
        <w:ind w:left="1440" w:hanging="360"/>
      </w:pPr>
      <w:r>
        <w:rPr>
          <w:rStyle w:val="7"/>
        </w:rPr>
        <w:t>20-30</w:t>
      </w:r>
      <w:r>
        <w:t>: $39.9M</w:t>
      </w:r>
    </w:p>
    <w:p w14:paraId="0A216AA8">
      <w:pPr>
        <w:keepNext w:val="0"/>
        <w:keepLines w:val="0"/>
        <w:widowControl/>
        <w:numPr>
          <w:ilvl w:val="1"/>
          <w:numId w:val="6"/>
        </w:numPr>
        <w:suppressLineNumbers w:val="0"/>
        <w:spacing w:before="0" w:beforeAutospacing="1" w:after="0" w:afterAutospacing="1"/>
        <w:ind w:left="1440" w:hanging="360"/>
      </w:pPr>
      <w:r>
        <w:rPr>
          <w:rStyle w:val="7"/>
        </w:rPr>
        <w:t>30-40</w:t>
      </w:r>
      <w:r>
        <w:t>: $44.8M (highest revenue)</w:t>
      </w:r>
    </w:p>
    <w:p w14:paraId="45EBC69B">
      <w:pPr>
        <w:keepNext w:val="0"/>
        <w:keepLines w:val="0"/>
        <w:widowControl/>
        <w:numPr>
          <w:ilvl w:val="1"/>
          <w:numId w:val="6"/>
        </w:numPr>
        <w:suppressLineNumbers w:val="0"/>
        <w:spacing w:before="0" w:beforeAutospacing="1" w:after="0" w:afterAutospacing="1"/>
        <w:ind w:left="1440" w:hanging="360"/>
      </w:pPr>
      <w:r>
        <w:rPr>
          <w:rStyle w:val="7"/>
        </w:rPr>
        <w:t>40-50</w:t>
      </w:r>
      <w:r>
        <w:t>: $39.5M</w:t>
      </w:r>
    </w:p>
    <w:p w14:paraId="12DE7823">
      <w:pPr>
        <w:keepNext w:val="0"/>
        <w:keepLines w:val="0"/>
        <w:widowControl/>
        <w:numPr>
          <w:ilvl w:val="1"/>
          <w:numId w:val="6"/>
        </w:numPr>
        <w:suppressLineNumbers w:val="0"/>
        <w:spacing w:before="0" w:beforeAutospacing="1" w:after="0" w:afterAutospacing="1"/>
        <w:ind w:left="1440" w:hanging="360"/>
      </w:pPr>
      <w:r>
        <w:rPr>
          <w:rStyle w:val="7"/>
        </w:rPr>
        <w:t>50-60</w:t>
      </w:r>
      <w:r>
        <w:t>: $37.8M</w:t>
      </w:r>
    </w:p>
    <w:p w14:paraId="15CBC803">
      <w:pPr>
        <w:keepNext w:val="0"/>
        <w:keepLines w:val="0"/>
        <w:widowControl/>
        <w:numPr>
          <w:ilvl w:val="1"/>
          <w:numId w:val="6"/>
        </w:numPr>
        <w:suppressLineNumbers w:val="0"/>
        <w:spacing w:before="0" w:beforeAutospacing="1" w:after="0" w:afterAutospacing="1"/>
        <w:ind w:left="1440" w:hanging="360"/>
      </w:pPr>
      <w:r>
        <w:rPr>
          <w:rStyle w:val="7"/>
        </w:rPr>
        <w:t>60-70</w:t>
      </w:r>
      <w:r>
        <w:t>: $41.1M</w:t>
      </w:r>
    </w:p>
    <w:p w14:paraId="567849EF">
      <w:pPr>
        <w:keepNext w:val="0"/>
        <w:keepLines w:val="0"/>
        <w:widowControl/>
        <w:numPr>
          <w:ilvl w:val="1"/>
          <w:numId w:val="6"/>
        </w:numPr>
        <w:suppressLineNumbers w:val="0"/>
        <w:spacing w:before="0" w:beforeAutospacing="1" w:after="0" w:afterAutospacing="1"/>
        <w:ind w:left="1440" w:hanging="360"/>
      </w:pPr>
      <w:r>
        <w:rPr>
          <w:rStyle w:val="7"/>
        </w:rPr>
        <w:t>&gt;70</w:t>
      </w:r>
      <w:r>
        <w:t>: $23.6M</w:t>
      </w:r>
    </w:p>
    <w:p w14:paraId="0EE49A76">
      <w:pPr>
        <w:pStyle w:val="2"/>
        <w:keepNext w:val="0"/>
        <w:keepLines w:val="0"/>
        <w:widowControl/>
        <w:suppressLineNumbers w:val="0"/>
      </w:pPr>
      <w:r>
        <w:t xml:space="preserve">3. </w:t>
      </w:r>
      <w:r>
        <w:rPr>
          <w:rStyle w:val="7"/>
          <w:b/>
          <w:bCs/>
        </w:rPr>
        <w:t>Color Gradient for Revenue:</w:t>
      </w:r>
    </w:p>
    <w:p w14:paraId="1065CC54">
      <w:pPr>
        <w:keepNext w:val="0"/>
        <w:keepLines w:val="0"/>
        <w:widowControl/>
        <w:numPr>
          <w:ilvl w:val="0"/>
          <w:numId w:val="7"/>
        </w:numPr>
        <w:suppressLineNumbers w:val="0"/>
        <w:spacing w:before="0" w:beforeAutospacing="1" w:after="0" w:afterAutospacing="1"/>
        <w:ind w:left="720" w:hanging="360"/>
      </w:pPr>
      <w:r>
        <w:t>The bars are colored using a gradient scale, where darker purple indicates higher revenue, and lighter colors (yellowish tones) indicate lower revenue.</w:t>
      </w:r>
    </w:p>
    <w:p w14:paraId="3A2B470D">
      <w:pPr>
        <w:keepNext w:val="0"/>
        <w:keepLines w:val="0"/>
        <w:widowControl/>
        <w:numPr>
          <w:ilvl w:val="0"/>
          <w:numId w:val="7"/>
        </w:numPr>
        <w:suppressLineNumbers w:val="0"/>
        <w:spacing w:before="0" w:beforeAutospacing="1" w:after="0" w:afterAutospacing="1"/>
        <w:ind w:left="720" w:hanging="360"/>
      </w:pPr>
      <w:r>
        <w:t xml:space="preserve">The legend on the right shows that the range of revenue is from </w:t>
      </w:r>
      <w:r>
        <w:rPr>
          <w:rStyle w:val="7"/>
        </w:rPr>
        <w:t>$7.0M to $44.8M</w:t>
      </w:r>
      <w:r>
        <w:t>.</w:t>
      </w:r>
    </w:p>
    <w:p w14:paraId="399B9B20">
      <w:pPr>
        <w:pStyle w:val="2"/>
        <w:keepNext w:val="0"/>
        <w:keepLines w:val="0"/>
        <w:widowControl/>
        <w:suppressLineNumbers w:val="0"/>
        <w:jc w:val="both"/>
      </w:pPr>
      <w:r>
        <w:t>In summary:</w:t>
      </w:r>
    </w:p>
    <w:p w14:paraId="746D005C">
      <w:pPr>
        <w:pStyle w:val="6"/>
        <w:keepNext w:val="0"/>
        <w:keepLines w:val="0"/>
        <w:widowControl/>
        <w:suppressLineNumbers w:val="0"/>
        <w:jc w:val="both"/>
      </w:pPr>
      <w:r>
        <w:t xml:space="preserve">This bar chart illustrates the revenue contributions from different age groups. The </w:t>
      </w:r>
      <w:r>
        <w:rPr>
          <w:rStyle w:val="7"/>
        </w:rPr>
        <w:t>30-40 age group</w:t>
      </w:r>
      <w:r>
        <w:t xml:space="preserve"> is the largest contributor, while </w:t>
      </w:r>
      <w:r>
        <w:rPr>
          <w:rStyle w:val="7"/>
        </w:rPr>
        <w:t>&lt;20</w:t>
      </w:r>
      <w:r>
        <w:t xml:space="preserve"> and </w:t>
      </w:r>
      <w:r>
        <w:rPr>
          <w:rStyle w:val="7"/>
        </w:rPr>
        <w:t>&gt;70</w:t>
      </w:r>
      <w:r>
        <w:t xml:space="preserve"> age groups generate significantly less revenue. The chart uses a gradient color scale to visually distinguish between higher and lower revenue amounts across the age ranges.</w:t>
      </w:r>
    </w:p>
    <w:p w14:paraId="30B4B6B8">
      <w:pPr>
        <w:pStyle w:val="6"/>
        <w:keepNext w:val="0"/>
        <w:keepLines w:val="0"/>
        <w:widowControl/>
        <w:suppressLineNumbers w:val="0"/>
        <w:jc w:val="both"/>
        <w:rPr>
          <w:rFonts w:hint="default"/>
          <w:lang w:val="en-US"/>
        </w:rPr>
      </w:pPr>
    </w:p>
    <w:p w14:paraId="5262D5BF">
      <w:pPr>
        <w:keepNext w:val="0"/>
        <w:keepLines w:val="0"/>
        <w:widowControl/>
        <w:numPr>
          <w:numId w:val="0"/>
        </w:numPr>
        <w:suppressLineNumbers w:val="0"/>
        <w:spacing w:before="0" w:beforeAutospacing="1" w:after="0" w:afterAutospacing="1"/>
        <w:ind w:left="360" w:leftChars="0"/>
        <w:rPr>
          <w:rFonts w:hint="default"/>
          <w:lang w:val="en-US"/>
        </w:rPr>
      </w:pPr>
      <w:r>
        <w:rPr>
          <w:rFonts w:hint="default"/>
          <w:lang w:val="en-US"/>
        </w:rPr>
        <w:drawing>
          <wp:inline distT="0" distB="0" distL="114300" distR="114300">
            <wp:extent cx="5264785" cy="2410460"/>
            <wp:effectExtent l="0" t="0" r="12065" b="8890"/>
            <wp:docPr id="4" name="Picture 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
                    <pic:cNvPicPr>
                      <a:picLocks noChangeAspect="1"/>
                    </pic:cNvPicPr>
                  </pic:nvPicPr>
                  <pic:blipFill>
                    <a:blip r:embed="rId9"/>
                    <a:stretch>
                      <a:fillRect/>
                    </a:stretch>
                  </pic:blipFill>
                  <pic:spPr>
                    <a:xfrm>
                      <a:off x="0" y="0"/>
                      <a:ext cx="5264785" cy="2410460"/>
                    </a:xfrm>
                    <a:prstGeom prst="rect">
                      <a:avLst/>
                    </a:prstGeom>
                  </pic:spPr>
                </pic:pic>
              </a:graphicData>
            </a:graphic>
          </wp:inline>
        </w:drawing>
      </w:r>
    </w:p>
    <w:p w14:paraId="1BA23C36">
      <w:pPr>
        <w:keepNext w:val="0"/>
        <w:keepLines w:val="0"/>
        <w:widowControl/>
        <w:numPr>
          <w:numId w:val="0"/>
        </w:numPr>
        <w:suppressLineNumbers w:val="0"/>
        <w:spacing w:before="0" w:beforeAutospacing="1" w:after="0" w:afterAutospacing="1"/>
        <w:ind w:left="360" w:leftChars="0"/>
        <w:rPr>
          <w:rFonts w:hint="default"/>
          <w:lang w:val="en-US"/>
        </w:rPr>
      </w:pPr>
    </w:p>
    <w:p w14:paraId="5E0802F8">
      <w:pPr>
        <w:pStyle w:val="6"/>
        <w:keepNext w:val="0"/>
        <w:keepLines w:val="0"/>
        <w:widowControl/>
        <w:suppressLineNumbers w:val="0"/>
      </w:pPr>
      <w:r>
        <w:rPr>
          <w:rFonts w:hint="default"/>
          <w:lang w:val="en-US"/>
        </w:rPr>
        <w:t>T</w:t>
      </w:r>
      <w:r>
        <w:t>he revenue share for each region:</w:t>
      </w:r>
    </w:p>
    <w:p w14:paraId="0D92A1EF">
      <w:pPr>
        <w:keepNext w:val="0"/>
        <w:keepLines w:val="0"/>
        <w:widowControl/>
        <w:numPr>
          <w:ilvl w:val="0"/>
          <w:numId w:val="8"/>
        </w:numPr>
        <w:suppressLineNumbers w:val="0"/>
        <w:spacing w:before="0" w:beforeAutospacing="1" w:after="0" w:afterAutospacing="1"/>
        <w:ind w:left="720" w:hanging="360"/>
      </w:pPr>
      <w:r>
        <w:rPr>
          <w:rStyle w:val="7"/>
        </w:rPr>
        <w:t>West:</w:t>
      </w:r>
      <w:r>
        <w:t xml:space="preserve"> 16.50%</w:t>
      </w:r>
    </w:p>
    <w:p w14:paraId="7DCFB639">
      <w:pPr>
        <w:keepNext w:val="0"/>
        <w:keepLines w:val="0"/>
        <w:widowControl/>
        <w:numPr>
          <w:ilvl w:val="0"/>
          <w:numId w:val="8"/>
        </w:numPr>
        <w:suppressLineNumbers w:val="0"/>
        <w:spacing w:before="0" w:beforeAutospacing="1" w:after="0" w:afterAutospacing="1"/>
        <w:ind w:left="720" w:hanging="360"/>
      </w:pPr>
      <w:r>
        <w:rPr>
          <w:rStyle w:val="7"/>
        </w:rPr>
        <w:t>Midwest:</w:t>
      </w:r>
      <w:r>
        <w:t xml:space="preserve"> 26.72%</w:t>
      </w:r>
    </w:p>
    <w:p w14:paraId="7AFD6CDA">
      <w:pPr>
        <w:keepNext w:val="0"/>
        <w:keepLines w:val="0"/>
        <w:widowControl/>
        <w:numPr>
          <w:ilvl w:val="0"/>
          <w:numId w:val="8"/>
        </w:numPr>
        <w:suppressLineNumbers w:val="0"/>
        <w:spacing w:before="0" w:beforeAutospacing="1" w:after="0" w:afterAutospacing="1"/>
        <w:ind w:left="720" w:hanging="360"/>
      </w:pPr>
      <w:r>
        <w:rPr>
          <w:rStyle w:val="7"/>
        </w:rPr>
        <w:t>Northeast:</w:t>
      </w:r>
      <w:r>
        <w:t xml:space="preserve"> 17.02%</w:t>
      </w:r>
    </w:p>
    <w:p w14:paraId="4CFD71A6">
      <w:pPr>
        <w:keepNext w:val="0"/>
        <w:keepLines w:val="0"/>
        <w:widowControl/>
        <w:numPr>
          <w:ilvl w:val="0"/>
          <w:numId w:val="8"/>
        </w:numPr>
        <w:suppressLineNumbers w:val="0"/>
        <w:spacing w:before="0" w:beforeAutospacing="1" w:after="0" w:afterAutospacing="1"/>
        <w:ind w:left="720" w:hanging="360"/>
      </w:pPr>
      <w:r>
        <w:rPr>
          <w:rStyle w:val="7"/>
        </w:rPr>
        <w:t>South:</w:t>
      </w:r>
      <w:r>
        <w:t xml:space="preserve"> 39.77%</w:t>
      </w:r>
    </w:p>
    <w:p w14:paraId="4D455D27">
      <w:pPr>
        <w:pStyle w:val="6"/>
        <w:keepNext w:val="0"/>
        <w:keepLines w:val="0"/>
        <w:widowControl/>
        <w:suppressLineNumbers w:val="0"/>
      </w:pPr>
      <w:r>
        <w:t>The chart visually represents the relative contributions of each region to the overall revenue. The largest share of revenue comes from the South region, followed by the Midwest. The West and Northeast regions have relatively smaller shares.</w:t>
      </w:r>
    </w:p>
    <w:p w14:paraId="5C0CC4DD">
      <w:pPr>
        <w:pStyle w:val="6"/>
        <w:keepNext w:val="0"/>
        <w:keepLines w:val="0"/>
        <w:widowControl/>
        <w:suppressLineNumbers w:val="0"/>
      </w:pPr>
    </w:p>
    <w:p w14:paraId="522EA4BC">
      <w:pPr>
        <w:pStyle w:val="6"/>
        <w:keepNext w:val="0"/>
        <w:keepLines w:val="0"/>
        <w:widowControl/>
        <w:suppressLineNumbers w:val="0"/>
        <w:rPr>
          <w:rFonts w:hint="default"/>
          <w:lang w:val="en-US"/>
        </w:rPr>
      </w:pPr>
      <w:r>
        <w:rPr>
          <w:rFonts w:hint="default"/>
          <w:lang w:val="en-US"/>
        </w:rPr>
        <w:drawing>
          <wp:inline distT="0" distB="0" distL="114300" distR="114300">
            <wp:extent cx="5267325" cy="3178810"/>
            <wp:effectExtent l="0" t="0" r="9525" b="2540"/>
            <wp:docPr id="5" name="Picture 5" descr="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j"/>
                    <pic:cNvPicPr>
                      <a:picLocks noChangeAspect="1"/>
                    </pic:cNvPicPr>
                  </pic:nvPicPr>
                  <pic:blipFill>
                    <a:blip r:embed="rId10"/>
                    <a:stretch>
                      <a:fillRect/>
                    </a:stretch>
                  </pic:blipFill>
                  <pic:spPr>
                    <a:xfrm>
                      <a:off x="0" y="0"/>
                      <a:ext cx="5267325" cy="3178810"/>
                    </a:xfrm>
                    <a:prstGeom prst="rect">
                      <a:avLst/>
                    </a:prstGeom>
                  </pic:spPr>
                </pic:pic>
              </a:graphicData>
            </a:graphic>
          </wp:inline>
        </w:drawing>
      </w:r>
    </w:p>
    <w:p w14:paraId="347EE465">
      <w:pPr>
        <w:pStyle w:val="6"/>
        <w:keepNext w:val="0"/>
        <w:keepLines w:val="0"/>
        <w:widowControl/>
        <w:suppressLineNumbers w:val="0"/>
        <w:rPr>
          <w:rFonts w:hint="default"/>
          <w:lang w:val="en-US"/>
        </w:rPr>
      </w:pPr>
    </w:p>
    <w:p w14:paraId="4835E1D1">
      <w:pPr>
        <w:pStyle w:val="6"/>
        <w:keepNext w:val="0"/>
        <w:keepLines w:val="0"/>
        <w:widowControl/>
        <w:suppressLineNumbers w:val="0"/>
        <w:jc w:val="both"/>
        <w:rPr>
          <w:sz w:val="22"/>
          <w:szCs w:val="22"/>
        </w:rPr>
      </w:pPr>
      <w:r>
        <w:rPr>
          <w:sz w:val="22"/>
          <w:szCs w:val="22"/>
        </w:rPr>
        <w:t>The chart is titled "Revenue per Category" and is divided into two sections: one for male revenue and one for female revenue. Each section shows a bar chart with the product categories on the x-axis and the revenue on the y-axis. The bars are colored green for male revenue and yellow for female revenue.</w:t>
      </w:r>
      <w:bookmarkStart w:id="0" w:name="_GoBack"/>
      <w:bookmarkEnd w:id="0"/>
    </w:p>
    <w:p w14:paraId="14841BED">
      <w:pPr>
        <w:pStyle w:val="6"/>
        <w:keepNext w:val="0"/>
        <w:keepLines w:val="0"/>
        <w:widowControl/>
        <w:suppressLineNumbers w:val="0"/>
        <w:jc w:val="both"/>
        <w:rPr>
          <w:sz w:val="22"/>
          <w:szCs w:val="22"/>
        </w:rPr>
      </w:pPr>
      <w:r>
        <w:rPr>
          <w:sz w:val="22"/>
          <w:szCs w:val="22"/>
        </w:rPr>
        <w:t>Here are some key observations from the chart:</w:t>
      </w:r>
    </w:p>
    <w:p w14:paraId="34FE9440">
      <w:pPr>
        <w:keepNext w:val="0"/>
        <w:keepLines w:val="0"/>
        <w:widowControl/>
        <w:numPr>
          <w:ilvl w:val="0"/>
          <w:numId w:val="9"/>
        </w:numPr>
        <w:suppressLineNumbers w:val="0"/>
        <w:spacing w:before="0" w:beforeAutospacing="1" w:after="0" w:afterAutospacing="1"/>
        <w:ind w:left="720" w:hanging="360"/>
        <w:jc w:val="both"/>
        <w:rPr>
          <w:sz w:val="22"/>
          <w:szCs w:val="22"/>
        </w:rPr>
      </w:pPr>
      <w:r>
        <w:rPr>
          <w:rStyle w:val="7"/>
          <w:sz w:val="22"/>
          <w:szCs w:val="22"/>
        </w:rPr>
        <w:t>Mobiles &amp; Tablets</w:t>
      </w:r>
      <w:r>
        <w:rPr>
          <w:sz w:val="22"/>
          <w:szCs w:val="22"/>
        </w:rPr>
        <w:t xml:space="preserve"> is the top-selling category for both male and female customers.</w:t>
      </w:r>
    </w:p>
    <w:p w14:paraId="322239F5">
      <w:pPr>
        <w:keepNext w:val="0"/>
        <w:keepLines w:val="0"/>
        <w:widowControl/>
        <w:numPr>
          <w:ilvl w:val="0"/>
          <w:numId w:val="9"/>
        </w:numPr>
        <w:suppressLineNumbers w:val="0"/>
        <w:spacing w:before="0" w:beforeAutospacing="1" w:after="0" w:afterAutospacing="1"/>
        <w:ind w:left="720" w:hanging="360"/>
        <w:jc w:val="both"/>
        <w:rPr>
          <w:sz w:val="22"/>
          <w:szCs w:val="22"/>
        </w:rPr>
      </w:pPr>
      <w:r>
        <w:rPr>
          <w:rStyle w:val="7"/>
          <w:sz w:val="22"/>
          <w:szCs w:val="22"/>
        </w:rPr>
        <w:t>Entertainment</w:t>
      </w:r>
      <w:r>
        <w:rPr>
          <w:sz w:val="22"/>
          <w:szCs w:val="22"/>
        </w:rPr>
        <w:t xml:space="preserve"> and </w:t>
      </w:r>
      <w:r>
        <w:rPr>
          <w:rStyle w:val="7"/>
          <w:sz w:val="22"/>
          <w:szCs w:val="22"/>
        </w:rPr>
        <w:t>Appliances</w:t>
      </w:r>
      <w:r>
        <w:rPr>
          <w:sz w:val="22"/>
          <w:szCs w:val="22"/>
        </w:rPr>
        <w:t xml:space="preserve"> are also popular categories for both genders.</w:t>
      </w:r>
    </w:p>
    <w:p w14:paraId="2476C0AB">
      <w:pPr>
        <w:keepNext w:val="0"/>
        <w:keepLines w:val="0"/>
        <w:widowControl/>
        <w:numPr>
          <w:ilvl w:val="0"/>
          <w:numId w:val="9"/>
        </w:numPr>
        <w:suppressLineNumbers w:val="0"/>
        <w:spacing w:before="0" w:beforeAutospacing="1" w:after="0" w:afterAutospacing="1"/>
        <w:ind w:left="720" w:hanging="360"/>
        <w:jc w:val="both"/>
        <w:rPr>
          <w:sz w:val="22"/>
          <w:szCs w:val="22"/>
        </w:rPr>
      </w:pPr>
      <w:r>
        <w:rPr>
          <w:rStyle w:val="7"/>
          <w:sz w:val="22"/>
          <w:szCs w:val="22"/>
        </w:rPr>
        <w:t>Women's Fashion</w:t>
      </w:r>
      <w:r>
        <w:rPr>
          <w:sz w:val="22"/>
          <w:szCs w:val="22"/>
        </w:rPr>
        <w:t xml:space="preserve"> and </w:t>
      </w:r>
      <w:r>
        <w:rPr>
          <w:rStyle w:val="7"/>
          <w:sz w:val="22"/>
          <w:szCs w:val="22"/>
        </w:rPr>
        <w:t>Men's Fashion</w:t>
      </w:r>
      <w:r>
        <w:rPr>
          <w:sz w:val="22"/>
          <w:szCs w:val="22"/>
        </w:rPr>
        <w:t xml:space="preserve"> are the top-selling categories for each respective gender.</w:t>
      </w:r>
    </w:p>
    <w:p w14:paraId="5A0DDE14">
      <w:pPr>
        <w:keepNext w:val="0"/>
        <w:keepLines w:val="0"/>
        <w:widowControl/>
        <w:numPr>
          <w:ilvl w:val="0"/>
          <w:numId w:val="9"/>
        </w:numPr>
        <w:suppressLineNumbers w:val="0"/>
        <w:spacing w:before="0" w:beforeAutospacing="1" w:after="0" w:afterAutospacing="1"/>
        <w:ind w:left="720" w:hanging="360"/>
        <w:jc w:val="both"/>
        <w:rPr>
          <w:sz w:val="22"/>
          <w:szCs w:val="22"/>
        </w:rPr>
      </w:pPr>
      <w:r>
        <w:rPr>
          <w:rStyle w:val="7"/>
          <w:sz w:val="22"/>
          <w:szCs w:val="22"/>
        </w:rPr>
        <w:t>Beauty &amp; Grooming</w:t>
      </w:r>
      <w:r>
        <w:rPr>
          <w:sz w:val="22"/>
          <w:szCs w:val="22"/>
        </w:rPr>
        <w:t xml:space="preserve"> and </w:t>
      </w:r>
      <w:r>
        <w:rPr>
          <w:rStyle w:val="7"/>
          <w:sz w:val="22"/>
          <w:szCs w:val="22"/>
        </w:rPr>
        <w:t>Home &amp; Living</w:t>
      </w:r>
      <w:r>
        <w:rPr>
          <w:sz w:val="22"/>
          <w:szCs w:val="22"/>
        </w:rPr>
        <w:t xml:space="preserve"> are also popular categories for women.</w:t>
      </w:r>
    </w:p>
    <w:p w14:paraId="43B3A97F">
      <w:pPr>
        <w:keepNext w:val="0"/>
        <w:keepLines w:val="0"/>
        <w:widowControl/>
        <w:numPr>
          <w:ilvl w:val="0"/>
          <w:numId w:val="9"/>
        </w:numPr>
        <w:suppressLineNumbers w:val="0"/>
        <w:spacing w:before="0" w:beforeAutospacing="1" w:after="0" w:afterAutospacing="1"/>
        <w:ind w:left="720" w:hanging="360"/>
        <w:jc w:val="both"/>
        <w:rPr>
          <w:sz w:val="22"/>
          <w:szCs w:val="22"/>
        </w:rPr>
      </w:pPr>
      <w:r>
        <w:rPr>
          <w:rStyle w:val="7"/>
          <w:sz w:val="22"/>
          <w:szCs w:val="22"/>
        </w:rPr>
        <w:t>Computing</w:t>
      </w:r>
      <w:r>
        <w:rPr>
          <w:sz w:val="22"/>
          <w:szCs w:val="22"/>
        </w:rPr>
        <w:t xml:space="preserve"> and </w:t>
      </w:r>
      <w:r>
        <w:rPr>
          <w:rStyle w:val="7"/>
          <w:sz w:val="22"/>
          <w:szCs w:val="22"/>
        </w:rPr>
        <w:t>Others</w:t>
      </w:r>
      <w:r>
        <w:rPr>
          <w:sz w:val="22"/>
          <w:szCs w:val="22"/>
        </w:rPr>
        <w:t xml:space="preserve"> are relatively low-revenue categories for both genders.</w:t>
      </w:r>
    </w:p>
    <w:p w14:paraId="2F85E40F">
      <w:pPr>
        <w:keepNext w:val="0"/>
        <w:keepLines w:val="0"/>
        <w:widowControl/>
        <w:numPr>
          <w:ilvl w:val="0"/>
          <w:numId w:val="9"/>
        </w:numPr>
        <w:suppressLineNumbers w:val="0"/>
        <w:spacing w:before="0" w:beforeAutospacing="1" w:after="0" w:afterAutospacing="1"/>
        <w:ind w:left="720" w:hanging="360"/>
        <w:jc w:val="both"/>
        <w:rPr>
          <w:sz w:val="22"/>
          <w:szCs w:val="22"/>
        </w:rPr>
      </w:pPr>
      <w:r>
        <w:rPr>
          <w:rStyle w:val="7"/>
          <w:sz w:val="22"/>
          <w:szCs w:val="22"/>
        </w:rPr>
        <w:t>Superstore</w:t>
      </w:r>
      <w:r>
        <w:rPr>
          <w:sz w:val="22"/>
          <w:szCs w:val="22"/>
        </w:rPr>
        <w:t xml:space="preserve">, </w:t>
      </w:r>
      <w:r>
        <w:rPr>
          <w:rStyle w:val="7"/>
          <w:sz w:val="22"/>
          <w:szCs w:val="22"/>
        </w:rPr>
        <w:t>Kids &amp; Baby</w:t>
      </w:r>
      <w:r>
        <w:rPr>
          <w:sz w:val="22"/>
          <w:szCs w:val="22"/>
        </w:rPr>
        <w:t xml:space="preserve">, </w:t>
      </w:r>
      <w:r>
        <w:rPr>
          <w:rStyle w:val="7"/>
          <w:sz w:val="22"/>
          <w:szCs w:val="22"/>
        </w:rPr>
        <w:t>Health &amp; Sports</w:t>
      </w:r>
      <w:r>
        <w:rPr>
          <w:sz w:val="22"/>
          <w:szCs w:val="22"/>
        </w:rPr>
        <w:t xml:space="preserve">, </w:t>
      </w:r>
      <w:r>
        <w:rPr>
          <w:rStyle w:val="7"/>
          <w:sz w:val="22"/>
          <w:szCs w:val="22"/>
        </w:rPr>
        <w:t>Soghaat</w:t>
      </w:r>
      <w:r>
        <w:rPr>
          <w:sz w:val="22"/>
          <w:szCs w:val="22"/>
        </w:rPr>
        <w:t xml:space="preserve">, </w:t>
      </w:r>
      <w:r>
        <w:rPr>
          <w:rStyle w:val="7"/>
          <w:sz w:val="22"/>
          <w:szCs w:val="22"/>
        </w:rPr>
        <w:t>Books</w:t>
      </w:r>
      <w:r>
        <w:rPr>
          <w:sz w:val="22"/>
          <w:szCs w:val="22"/>
        </w:rPr>
        <w:t xml:space="preserve">, and </w:t>
      </w:r>
      <w:r>
        <w:rPr>
          <w:rStyle w:val="7"/>
          <w:sz w:val="22"/>
          <w:szCs w:val="22"/>
        </w:rPr>
        <w:t>School &amp; Education</w:t>
      </w:r>
      <w:r>
        <w:rPr>
          <w:sz w:val="22"/>
          <w:szCs w:val="22"/>
        </w:rPr>
        <w:t xml:space="preserve"> have minimal revenue for both genders.</w:t>
      </w:r>
    </w:p>
    <w:p w14:paraId="216A3BC9">
      <w:pPr>
        <w:pStyle w:val="6"/>
        <w:keepNext w:val="0"/>
        <w:keepLines w:val="0"/>
        <w:widowControl/>
        <w:suppressLineNumbers w:val="0"/>
        <w:jc w:val="both"/>
        <w:rPr>
          <w:sz w:val="24"/>
          <w:szCs w:val="24"/>
        </w:rPr>
      </w:pPr>
      <w:r>
        <w:rPr>
          <w:sz w:val="24"/>
          <w:szCs w:val="24"/>
        </w:rPr>
        <w:t>Overall, the chart provides a clear visualization of the revenue generated by different product categories for male and female customers. It helps to identify the most popular categories and the areas where there is potential for growth.</w:t>
      </w:r>
    </w:p>
    <w:p w14:paraId="4F44B219">
      <w:pPr>
        <w:pStyle w:val="6"/>
        <w:keepNext w:val="0"/>
        <w:keepLines w:val="0"/>
        <w:widowControl/>
        <w:suppressLineNumbers w:val="0"/>
        <w:rPr>
          <w:rFonts w:hint="default"/>
          <w:lang w:val="en-US"/>
        </w:rPr>
      </w:pPr>
    </w:p>
    <w:p w14:paraId="6C1C5EC5">
      <w:pPr>
        <w:pStyle w:val="6"/>
        <w:keepNext w:val="0"/>
        <w:keepLines w:val="0"/>
        <w:widowControl/>
        <w:suppressLineNumbers w:val="0"/>
      </w:pPr>
    </w:p>
    <w:p w14:paraId="171C8AB1">
      <w:pPr>
        <w:keepNext w:val="0"/>
        <w:keepLines w:val="0"/>
        <w:widowControl/>
        <w:numPr>
          <w:numId w:val="0"/>
        </w:numPr>
        <w:suppressLineNumbers w:val="0"/>
        <w:spacing w:before="0" w:beforeAutospacing="1" w:after="0" w:afterAutospacing="1"/>
        <w:ind w:left="360" w:leftChars="0"/>
        <w:rPr>
          <w:rFonts w:hint="default"/>
          <w:lang w:val="en-US"/>
        </w:rPr>
      </w:pPr>
    </w:p>
    <w:p w14:paraId="49A178A4">
      <w:pPr>
        <w:keepNext w:val="0"/>
        <w:keepLines w:val="0"/>
        <w:widowControl/>
        <w:numPr>
          <w:numId w:val="0"/>
        </w:numPr>
        <w:suppressLineNumbers w:val="0"/>
        <w:spacing w:before="0" w:beforeAutospacing="1" w:after="0" w:afterAutospacing="1"/>
        <w:ind w:left="360" w:leftChars="0"/>
      </w:pPr>
    </w:p>
    <w:p w14:paraId="58D8E802">
      <w:pPr>
        <w:jc w:val="both"/>
        <w:rPr>
          <w:rFonts w:hint="default" w:ascii="Times New Roman" w:hAnsi="Times New Roman" w:cs="Times New Roman"/>
          <w:b/>
          <w:bCs/>
          <w:color w:val="000000"/>
          <w:sz w:val="48"/>
          <w:szCs w:val="4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Agency FB">
    <w:altName w:val="Yu Gothic UI"/>
    <w:panose1 w:val="020B0503020202020204"/>
    <w:charset w:val="00"/>
    <w:family w:val="swiss"/>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F50D2"/>
    <w:multiLevelType w:val="multilevel"/>
    <w:tmpl w:val="C3FF50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D2DC313"/>
    <w:multiLevelType w:val="multilevel"/>
    <w:tmpl w:val="ED2DC3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2F8778"/>
    <w:multiLevelType w:val="multilevel"/>
    <w:tmpl w:val="FC2F87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54D18B4"/>
    <w:multiLevelType w:val="multilevel"/>
    <w:tmpl w:val="154D18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F490940"/>
    <w:multiLevelType w:val="multilevel"/>
    <w:tmpl w:val="2F4909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E219DAD"/>
    <w:multiLevelType w:val="multilevel"/>
    <w:tmpl w:val="4E219D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3C78E20"/>
    <w:multiLevelType w:val="multilevel"/>
    <w:tmpl w:val="53C78E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2D97A1A"/>
    <w:multiLevelType w:val="multilevel"/>
    <w:tmpl w:val="62D97A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52A9BF5"/>
    <w:multiLevelType w:val="multilevel"/>
    <w:tmpl w:val="752A9B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7"/>
  </w:num>
  <w:num w:numId="3">
    <w:abstractNumId w:val="2"/>
  </w:num>
  <w:num w:numId="4">
    <w:abstractNumId w:val="8"/>
  </w:num>
  <w:num w:numId="5">
    <w:abstractNumId w:val="5"/>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A96228"/>
    <w:rsid w:val="38A9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29</TotalTime>
  <ScaleCrop>false</ScaleCrop>
  <LinksUpToDate>false</LinksUpToDate>
  <CharactersWithSpaces>0</CharactersWithSpaces>
  <Application>WPS Office_12.2.0.18199_F1E327BC-269C-435d-A152-05C5408002CA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2024-09-12T14:36:00Z</dcterms:created>
  <dc:creator>FURY</dc:creator>
  <cp:lastModifiedBy>FURY</cp:lastModifiedBy>
  <dcterms:modified xsi:type="dcterms:W3CDTF">2024-09-12T15:40:54Z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B5AAA017DED74043B2909945035A810F_11</vt:lpwstr>
  </property>
</Properties>
</file>