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12B0" w:rsidRPr="00C41AC5" w:rsidRDefault="002912B0" w:rsidP="002912B0">
      <w:pPr>
        <w:rPr>
          <w:rFonts w:ascii="Segoe UI" w:hAnsi="Segoe UI" w:cs="Segoe UI"/>
          <w:sz w:val="21"/>
          <w:szCs w:val="21"/>
          <w:shd w:val="clear" w:color="auto" w:fill="FFFFFF"/>
        </w:rPr>
      </w:pPr>
      <w:r w:rsidRPr="00C41AC5">
        <w:rPr>
          <w:rFonts w:ascii="Segoe UI" w:hAnsi="Segoe UI" w:cs="Segoe UI"/>
          <w:sz w:val="21"/>
          <w:szCs w:val="21"/>
          <w:shd w:val="clear" w:color="auto" w:fill="FFFFFF"/>
        </w:rPr>
        <w:t xml:space="preserve">Problem Statement 1: </w:t>
      </w:r>
      <w:proofErr w:type="spellStart"/>
      <w:r w:rsidRPr="002912B0">
        <w:rPr>
          <w:rFonts w:ascii="Segoe UI" w:hAnsi="Segoe UI" w:cs="Segoe UI"/>
          <w:sz w:val="21"/>
          <w:szCs w:val="21"/>
          <w:shd w:val="clear" w:color="auto" w:fill="FFFFFF"/>
        </w:rPr>
        <w:t>Analyze</w:t>
      </w:r>
      <w:proofErr w:type="spellEnd"/>
      <w:r w:rsidRPr="002912B0">
        <w:rPr>
          <w:rFonts w:ascii="Segoe UI" w:hAnsi="Segoe UI" w:cs="Segoe UI"/>
          <w:sz w:val="21"/>
          <w:szCs w:val="21"/>
          <w:shd w:val="clear" w:color="auto" w:fill="FFFFFF"/>
        </w:rPr>
        <w:t xml:space="preserve"> the sentiment of FOMC minutes (programmatically) from 2019-2023 and evaluate its impact on S&amp;P500 performance.</w:t>
      </w:r>
    </w:p>
    <w:p w:rsidR="00031D8D" w:rsidRDefault="00031D8D" w:rsidP="002912B0">
      <w:pPr>
        <w:rPr>
          <w:rFonts w:ascii="Segoe UI" w:hAnsi="Segoe UI" w:cs="Segoe UI"/>
          <w:sz w:val="21"/>
          <w:szCs w:val="21"/>
          <w:shd w:val="clear" w:color="auto" w:fill="FFFFFF"/>
        </w:rPr>
      </w:pPr>
    </w:p>
    <w:p w:rsidR="00412BB6" w:rsidRPr="00412BB6" w:rsidRDefault="00412BB6" w:rsidP="002912B0">
      <w:pPr>
        <w:rPr>
          <w:rFonts w:ascii="Segoe UI" w:hAnsi="Segoe UI" w:cs="Segoe UI"/>
          <w:b/>
          <w:bCs/>
          <w:sz w:val="21"/>
          <w:szCs w:val="21"/>
          <w:shd w:val="clear" w:color="auto" w:fill="FFFFFF"/>
        </w:rPr>
      </w:pPr>
      <w:r w:rsidRPr="00412BB6">
        <w:rPr>
          <w:rFonts w:ascii="Segoe UI" w:hAnsi="Segoe UI" w:cs="Segoe UI"/>
          <w:b/>
          <w:bCs/>
          <w:sz w:val="21"/>
          <w:szCs w:val="21"/>
          <w:shd w:val="clear" w:color="auto" w:fill="FFFFFF"/>
        </w:rPr>
        <w:t>Python Code: fomc.py</w:t>
      </w:r>
    </w:p>
    <w:p w:rsidR="00412BB6" w:rsidRPr="00C41AC5" w:rsidRDefault="00412BB6" w:rsidP="002912B0">
      <w:pPr>
        <w:rPr>
          <w:rFonts w:ascii="Segoe UI" w:hAnsi="Segoe UI" w:cs="Segoe UI"/>
          <w:sz w:val="21"/>
          <w:szCs w:val="21"/>
          <w:shd w:val="clear" w:color="auto" w:fill="FFFFFF"/>
        </w:rPr>
      </w:pPr>
    </w:p>
    <w:p w:rsidR="008E3279" w:rsidRPr="008E3279" w:rsidRDefault="008E3279" w:rsidP="00C41AC5">
      <w:pPr>
        <w:rPr>
          <w:rFonts w:ascii="Segoe UI" w:hAnsi="Segoe UI" w:cs="Segoe UI"/>
          <w:sz w:val="21"/>
          <w:szCs w:val="21"/>
          <w:shd w:val="clear" w:color="auto" w:fill="FFFFFF"/>
        </w:rPr>
      </w:pPr>
      <w:r w:rsidRPr="00C41AC5">
        <w:rPr>
          <w:rFonts w:ascii="Segoe UI" w:hAnsi="Segoe UI" w:cs="Segoe UI"/>
          <w:sz w:val="21"/>
          <w:szCs w:val="21"/>
          <w:shd w:val="clear" w:color="auto" w:fill="FFFFFF"/>
        </w:rPr>
        <w:t>M</w:t>
      </w:r>
      <w:r w:rsidRPr="008E3279">
        <w:rPr>
          <w:rFonts w:ascii="Segoe UI" w:hAnsi="Segoe UI" w:cs="Segoe UI"/>
          <w:sz w:val="21"/>
          <w:szCs w:val="21"/>
          <w:shd w:val="clear" w:color="auto" w:fill="FFFFFF"/>
        </w:rPr>
        <w:t>ethodology</w:t>
      </w:r>
      <w:r w:rsidR="00C41AC5" w:rsidRPr="00C41AC5">
        <w:rPr>
          <w:rFonts w:ascii="Segoe UI" w:hAnsi="Segoe UI" w:cs="Segoe UI"/>
          <w:sz w:val="21"/>
          <w:szCs w:val="21"/>
          <w:shd w:val="clear" w:color="auto" w:fill="FFFFFF"/>
        </w:rPr>
        <w:t>:</w:t>
      </w:r>
    </w:p>
    <w:p w:rsidR="00C41AC5" w:rsidRDefault="00C41AC5" w:rsidP="00C41AC5">
      <w:pPr>
        <w:rPr>
          <w:rFonts w:ascii="Segoe UI" w:hAnsi="Segoe UI" w:cs="Segoe UI"/>
          <w:sz w:val="21"/>
          <w:szCs w:val="21"/>
          <w:shd w:val="clear" w:color="auto" w:fill="FFFFFF"/>
        </w:rPr>
      </w:pPr>
    </w:p>
    <w:p w:rsidR="00C41AC5" w:rsidRPr="00C41AC5" w:rsidRDefault="008E3279" w:rsidP="00C41AC5">
      <w:pPr>
        <w:pStyle w:val="ListParagraph"/>
        <w:numPr>
          <w:ilvl w:val="0"/>
          <w:numId w:val="7"/>
        </w:numPr>
        <w:rPr>
          <w:rFonts w:ascii="Segoe UI" w:hAnsi="Segoe UI" w:cs="Segoe UI"/>
          <w:sz w:val="21"/>
          <w:szCs w:val="21"/>
          <w:shd w:val="clear" w:color="auto" w:fill="FFFFFF"/>
        </w:rPr>
      </w:pPr>
      <w:r w:rsidRPr="00C41AC5">
        <w:rPr>
          <w:rFonts w:ascii="Segoe UI" w:hAnsi="Segoe UI" w:cs="Segoe UI"/>
          <w:sz w:val="21"/>
          <w:szCs w:val="21"/>
          <w:shd w:val="clear" w:color="auto" w:fill="FFFFFF"/>
        </w:rPr>
        <w:t>Data Collection:</w:t>
      </w:r>
    </w:p>
    <w:p w:rsidR="00C41AC5" w:rsidRPr="00C41AC5" w:rsidRDefault="008E3279" w:rsidP="00C41AC5">
      <w:pPr>
        <w:pStyle w:val="ListParagraph"/>
        <w:numPr>
          <w:ilvl w:val="0"/>
          <w:numId w:val="8"/>
        </w:numPr>
        <w:rPr>
          <w:rFonts w:ascii="Segoe UI" w:hAnsi="Segoe UI" w:cs="Segoe UI"/>
          <w:sz w:val="21"/>
          <w:szCs w:val="21"/>
          <w:shd w:val="clear" w:color="auto" w:fill="FFFFFF"/>
        </w:rPr>
      </w:pPr>
      <w:r w:rsidRPr="00C41AC5">
        <w:rPr>
          <w:rFonts w:ascii="Segoe UI" w:hAnsi="Segoe UI" w:cs="Segoe UI"/>
          <w:sz w:val="21"/>
          <w:szCs w:val="21"/>
          <w:shd w:val="clear" w:color="auto" w:fill="FFFFFF"/>
        </w:rPr>
        <w:t>leverage the</w:t>
      </w:r>
      <w:r w:rsidRPr="00C41AC5">
        <w:rPr>
          <w:sz w:val="21"/>
          <w:szCs w:val="21"/>
        </w:rPr>
        <w:t> </w:t>
      </w:r>
      <w:proofErr w:type="spellStart"/>
      <w:r w:rsidRPr="00C41AC5">
        <w:rPr>
          <w:rFonts w:ascii="Segoe UI" w:hAnsi="Segoe UI" w:cs="Segoe UI"/>
          <w:sz w:val="21"/>
          <w:szCs w:val="21"/>
          <w:shd w:val="clear" w:color="auto" w:fill="FFFFFF"/>
        </w:rPr>
        <w:t>FedTools</w:t>
      </w:r>
      <w:proofErr w:type="spellEnd"/>
      <w:r w:rsidRPr="00C41AC5">
        <w:rPr>
          <w:sz w:val="21"/>
          <w:szCs w:val="21"/>
        </w:rPr>
        <w:t> </w:t>
      </w:r>
      <w:r w:rsidRPr="00C41AC5">
        <w:rPr>
          <w:rFonts w:ascii="Segoe UI" w:hAnsi="Segoe UI" w:cs="Segoe UI"/>
          <w:sz w:val="21"/>
          <w:szCs w:val="21"/>
          <w:shd w:val="clear" w:color="auto" w:fill="FFFFFF"/>
        </w:rPr>
        <w:t>package to systematically gather the FOMC meeting minutes spans over 2019 to 2023.</w:t>
      </w:r>
    </w:p>
    <w:p w:rsidR="008E3279" w:rsidRPr="00C41AC5" w:rsidRDefault="008E3279" w:rsidP="00C41AC5">
      <w:pPr>
        <w:pStyle w:val="ListParagraph"/>
        <w:numPr>
          <w:ilvl w:val="0"/>
          <w:numId w:val="8"/>
        </w:numPr>
        <w:rPr>
          <w:rFonts w:ascii="Segoe UI" w:hAnsi="Segoe UI" w:cs="Segoe UI"/>
          <w:sz w:val="21"/>
          <w:szCs w:val="21"/>
          <w:shd w:val="clear" w:color="auto" w:fill="FFFFFF"/>
        </w:rPr>
      </w:pPr>
      <w:r w:rsidRPr="00C41AC5">
        <w:rPr>
          <w:rFonts w:ascii="Segoe UI" w:hAnsi="Segoe UI" w:cs="Segoe UI"/>
          <w:sz w:val="21"/>
          <w:szCs w:val="21"/>
          <w:shd w:val="clear" w:color="auto" w:fill="FFFFFF"/>
        </w:rPr>
        <w:t>Retrieved S&amp;P 500 daily closing prices from Yahoo Finance for the same period.</w:t>
      </w:r>
    </w:p>
    <w:p w:rsidR="00C41AC5" w:rsidRDefault="00C41AC5" w:rsidP="00C41AC5">
      <w:pPr>
        <w:pStyle w:val="ListParagraph"/>
        <w:rPr>
          <w:rFonts w:ascii="Segoe UI" w:hAnsi="Segoe UI" w:cs="Segoe UI"/>
          <w:sz w:val="21"/>
          <w:szCs w:val="21"/>
          <w:shd w:val="clear" w:color="auto" w:fill="FFFFFF"/>
        </w:rPr>
      </w:pPr>
    </w:p>
    <w:p w:rsidR="008E3279" w:rsidRPr="00C41AC5" w:rsidRDefault="008E3279" w:rsidP="00C41AC5">
      <w:pPr>
        <w:pStyle w:val="ListParagraph"/>
        <w:numPr>
          <w:ilvl w:val="0"/>
          <w:numId w:val="7"/>
        </w:numPr>
        <w:rPr>
          <w:rFonts w:ascii="Segoe UI" w:hAnsi="Segoe UI" w:cs="Segoe UI"/>
          <w:sz w:val="21"/>
          <w:szCs w:val="21"/>
          <w:shd w:val="clear" w:color="auto" w:fill="FFFFFF"/>
        </w:rPr>
      </w:pPr>
      <w:r w:rsidRPr="00C41AC5">
        <w:rPr>
          <w:rFonts w:ascii="Segoe UI" w:hAnsi="Segoe UI" w:cs="Segoe UI"/>
          <w:sz w:val="21"/>
          <w:szCs w:val="21"/>
          <w:shd w:val="clear" w:color="auto" w:fill="FFFFFF"/>
        </w:rPr>
        <w:t>Sentiment Analysis:</w:t>
      </w:r>
    </w:p>
    <w:p w:rsidR="008E3279" w:rsidRPr="00C41AC5" w:rsidRDefault="008E3279" w:rsidP="00C41AC5">
      <w:pPr>
        <w:pStyle w:val="ListParagraph"/>
        <w:numPr>
          <w:ilvl w:val="0"/>
          <w:numId w:val="9"/>
        </w:numPr>
        <w:rPr>
          <w:rFonts w:ascii="Segoe UI" w:hAnsi="Segoe UI" w:cs="Segoe UI"/>
          <w:sz w:val="21"/>
          <w:szCs w:val="21"/>
          <w:shd w:val="clear" w:color="auto" w:fill="FFFFFF"/>
        </w:rPr>
      </w:pPr>
      <w:r w:rsidRPr="00C41AC5">
        <w:rPr>
          <w:rFonts w:ascii="Segoe UI" w:hAnsi="Segoe UI" w:cs="Segoe UI"/>
          <w:sz w:val="21"/>
          <w:szCs w:val="21"/>
          <w:shd w:val="clear" w:color="auto" w:fill="FFFFFF"/>
        </w:rPr>
        <w:t>Each document is meticulously broken down into individual sentences to prepare for fine-grained sentiment analysis.</w:t>
      </w:r>
    </w:p>
    <w:p w:rsidR="008E3279" w:rsidRPr="00C41AC5" w:rsidRDefault="008E3279" w:rsidP="00C41AC5">
      <w:pPr>
        <w:pStyle w:val="ListParagraph"/>
        <w:numPr>
          <w:ilvl w:val="0"/>
          <w:numId w:val="9"/>
        </w:numPr>
        <w:rPr>
          <w:rFonts w:ascii="Segoe UI" w:hAnsi="Segoe UI" w:cs="Segoe UI"/>
          <w:sz w:val="21"/>
          <w:szCs w:val="21"/>
          <w:shd w:val="clear" w:color="auto" w:fill="FFFFFF"/>
        </w:rPr>
      </w:pPr>
      <w:r w:rsidRPr="00C41AC5">
        <w:rPr>
          <w:rFonts w:ascii="Segoe UI" w:hAnsi="Segoe UI" w:cs="Segoe UI"/>
          <w:sz w:val="21"/>
          <w:szCs w:val="21"/>
          <w:shd w:val="clear" w:color="auto" w:fill="FFFFFF"/>
        </w:rPr>
        <w:t xml:space="preserve">Used </w:t>
      </w:r>
      <w:proofErr w:type="spellStart"/>
      <w:r w:rsidRPr="00C41AC5">
        <w:rPr>
          <w:rFonts w:ascii="Segoe UI" w:hAnsi="Segoe UI" w:cs="Segoe UI"/>
          <w:sz w:val="21"/>
          <w:szCs w:val="21"/>
          <w:shd w:val="clear" w:color="auto" w:fill="FFFFFF"/>
        </w:rPr>
        <w:t>FinBERT</w:t>
      </w:r>
      <w:proofErr w:type="spellEnd"/>
      <w:r w:rsidRPr="00C41AC5">
        <w:rPr>
          <w:rFonts w:ascii="Segoe UI" w:hAnsi="Segoe UI" w:cs="Segoe UI"/>
          <w:sz w:val="21"/>
          <w:szCs w:val="21"/>
          <w:shd w:val="clear" w:color="auto" w:fill="FFFFFF"/>
        </w:rPr>
        <w:t xml:space="preserve"> model specifically trained on financial texts, offering nuanced understanding beyond general-purpose language models.</w:t>
      </w:r>
    </w:p>
    <w:p w:rsidR="008E3279" w:rsidRPr="00C41AC5" w:rsidRDefault="008E3279" w:rsidP="00C41AC5">
      <w:pPr>
        <w:pStyle w:val="ListParagraph"/>
        <w:numPr>
          <w:ilvl w:val="0"/>
          <w:numId w:val="9"/>
        </w:numPr>
        <w:rPr>
          <w:rFonts w:ascii="Segoe UI" w:hAnsi="Segoe UI" w:cs="Segoe UI"/>
          <w:sz w:val="21"/>
          <w:szCs w:val="21"/>
          <w:shd w:val="clear" w:color="auto" w:fill="FFFFFF"/>
        </w:rPr>
      </w:pPr>
      <w:r w:rsidRPr="00C41AC5">
        <w:rPr>
          <w:rFonts w:ascii="Segoe UI" w:hAnsi="Segoe UI" w:cs="Segoe UI"/>
          <w:sz w:val="21"/>
          <w:szCs w:val="21"/>
          <w:shd w:val="clear" w:color="auto" w:fill="FFFFFF"/>
        </w:rPr>
        <w:t>Each sentence is classified into one of three categories: positive, neutral, or negative.</w:t>
      </w:r>
    </w:p>
    <w:p w:rsidR="008E3279" w:rsidRPr="00C41AC5" w:rsidRDefault="008E3279" w:rsidP="00C41AC5">
      <w:pPr>
        <w:pStyle w:val="ListParagraph"/>
        <w:numPr>
          <w:ilvl w:val="0"/>
          <w:numId w:val="9"/>
        </w:numPr>
        <w:rPr>
          <w:rFonts w:ascii="Segoe UI" w:hAnsi="Segoe UI" w:cs="Segoe UI"/>
          <w:sz w:val="21"/>
          <w:szCs w:val="21"/>
          <w:shd w:val="clear" w:color="auto" w:fill="FFFFFF"/>
        </w:rPr>
      </w:pPr>
      <w:r w:rsidRPr="00C41AC5">
        <w:rPr>
          <w:rFonts w:ascii="Segoe UI" w:hAnsi="Segoe UI" w:cs="Segoe UI"/>
          <w:sz w:val="21"/>
          <w:szCs w:val="21"/>
          <w:shd w:val="clear" w:color="auto" w:fill="FFFFFF"/>
        </w:rPr>
        <w:t>Quantify the overall sentiment of each meeting's minutes, we calculate a sentiment score:</w:t>
      </w:r>
      <w:r w:rsidRPr="00C41AC5">
        <w:rPr>
          <w:sz w:val="21"/>
          <w:szCs w:val="21"/>
        </w:rPr>
        <w:t> </w:t>
      </w:r>
      <w:r w:rsidRPr="00C41AC5">
        <w:rPr>
          <w:rFonts w:ascii="Segoe UI" w:hAnsi="Segoe UI" w:cs="Segoe UI"/>
          <w:sz w:val="21"/>
          <w:szCs w:val="21"/>
          <w:shd w:val="clear" w:color="auto" w:fill="FFFFFF"/>
        </w:rPr>
        <w:t>(Number of Positive Sentences - Number of Negative Sentences) / Total Number of Sentences.</w:t>
      </w:r>
    </w:p>
    <w:p w:rsidR="00C41AC5" w:rsidRDefault="00C41AC5" w:rsidP="00C41AC5">
      <w:pPr>
        <w:rPr>
          <w:rFonts w:ascii="Segoe UI" w:hAnsi="Segoe UI" w:cs="Segoe UI"/>
          <w:sz w:val="21"/>
          <w:szCs w:val="21"/>
          <w:shd w:val="clear" w:color="auto" w:fill="FFFFFF"/>
        </w:rPr>
      </w:pPr>
    </w:p>
    <w:p w:rsidR="008E3279" w:rsidRPr="00C41AC5" w:rsidRDefault="008E3279" w:rsidP="00C41AC5">
      <w:pPr>
        <w:pStyle w:val="ListParagraph"/>
        <w:numPr>
          <w:ilvl w:val="0"/>
          <w:numId w:val="7"/>
        </w:numPr>
        <w:rPr>
          <w:rFonts w:ascii="Segoe UI" w:hAnsi="Segoe UI" w:cs="Segoe UI"/>
          <w:sz w:val="21"/>
          <w:szCs w:val="21"/>
          <w:shd w:val="clear" w:color="auto" w:fill="FFFFFF"/>
        </w:rPr>
      </w:pPr>
      <w:r w:rsidRPr="00C41AC5">
        <w:rPr>
          <w:rFonts w:ascii="Segoe UI" w:hAnsi="Segoe UI" w:cs="Segoe UI"/>
          <w:sz w:val="21"/>
          <w:szCs w:val="21"/>
          <w:shd w:val="clear" w:color="auto" w:fill="FFFFFF"/>
        </w:rPr>
        <w:t>Event Window Analysis:</w:t>
      </w:r>
    </w:p>
    <w:p w:rsidR="008E3279" w:rsidRPr="00C41AC5" w:rsidRDefault="008E3279" w:rsidP="00C41AC5">
      <w:pPr>
        <w:pStyle w:val="ListParagraph"/>
        <w:numPr>
          <w:ilvl w:val="0"/>
          <w:numId w:val="10"/>
        </w:numPr>
        <w:rPr>
          <w:rFonts w:ascii="Segoe UI" w:hAnsi="Segoe UI" w:cs="Segoe UI"/>
          <w:sz w:val="21"/>
          <w:szCs w:val="21"/>
          <w:shd w:val="clear" w:color="auto" w:fill="FFFFFF"/>
        </w:rPr>
      </w:pPr>
      <w:r w:rsidRPr="00C41AC5">
        <w:rPr>
          <w:rFonts w:ascii="Segoe UI" w:hAnsi="Segoe UI" w:cs="Segoe UI"/>
          <w:sz w:val="21"/>
          <w:szCs w:val="21"/>
          <w:shd w:val="clear" w:color="auto" w:fill="FFFFFF"/>
        </w:rPr>
        <w:t>Defined a 5-day pre-event window (5 business days including the FOMC event) and a 5-day post-event window (5 business days after the FOMC event).</w:t>
      </w:r>
    </w:p>
    <w:p w:rsidR="00C41AC5" w:rsidRDefault="008E3279" w:rsidP="00C41AC5">
      <w:pPr>
        <w:pStyle w:val="ListParagraph"/>
        <w:numPr>
          <w:ilvl w:val="0"/>
          <w:numId w:val="10"/>
        </w:numPr>
        <w:rPr>
          <w:rFonts w:ascii="Segoe UI" w:hAnsi="Segoe UI" w:cs="Segoe UI"/>
          <w:sz w:val="21"/>
          <w:szCs w:val="21"/>
          <w:shd w:val="clear" w:color="auto" w:fill="FFFFFF"/>
        </w:rPr>
      </w:pPr>
      <w:r w:rsidRPr="00C41AC5">
        <w:rPr>
          <w:rFonts w:ascii="Segoe UI" w:hAnsi="Segoe UI" w:cs="Segoe UI"/>
          <w:sz w:val="21"/>
          <w:szCs w:val="21"/>
          <w:shd w:val="clear" w:color="auto" w:fill="FFFFFF"/>
        </w:rPr>
        <w:t>Calculated cumulative returns for the S&amp;P 500 index in both windows.</w:t>
      </w:r>
    </w:p>
    <w:p w:rsidR="008E3279" w:rsidRDefault="008E3279" w:rsidP="00C41AC5">
      <w:pPr>
        <w:pStyle w:val="ListParagraph"/>
        <w:numPr>
          <w:ilvl w:val="0"/>
          <w:numId w:val="10"/>
        </w:numPr>
        <w:rPr>
          <w:rFonts w:ascii="Segoe UI" w:hAnsi="Segoe UI" w:cs="Segoe UI"/>
          <w:sz w:val="21"/>
          <w:szCs w:val="21"/>
          <w:shd w:val="clear" w:color="auto" w:fill="FFFFFF"/>
        </w:rPr>
      </w:pPr>
      <w:r w:rsidRPr="00C41AC5">
        <w:rPr>
          <w:rFonts w:ascii="Segoe UI" w:hAnsi="Segoe UI" w:cs="Segoe UI"/>
          <w:sz w:val="21"/>
          <w:szCs w:val="21"/>
          <w:shd w:val="clear" w:color="auto" w:fill="FFFFFF"/>
        </w:rPr>
        <w:t xml:space="preserve">Grouped events by sentiment score (positive or negative) and compared </w:t>
      </w:r>
      <w:r w:rsidR="00C41AC5" w:rsidRPr="00C41AC5">
        <w:rPr>
          <w:rFonts w:ascii="Segoe UI" w:hAnsi="Segoe UI" w:cs="Segoe UI"/>
          <w:sz w:val="21"/>
          <w:szCs w:val="21"/>
          <w:shd w:val="clear" w:color="auto" w:fill="FFFFFF"/>
        </w:rPr>
        <w:t xml:space="preserve">average </w:t>
      </w:r>
      <w:r w:rsidRPr="00C41AC5">
        <w:rPr>
          <w:rFonts w:ascii="Segoe UI" w:hAnsi="Segoe UI" w:cs="Segoe UI"/>
          <w:sz w:val="21"/>
          <w:szCs w:val="21"/>
          <w:shd w:val="clear" w:color="auto" w:fill="FFFFFF"/>
        </w:rPr>
        <w:t>cumulative returns.</w:t>
      </w:r>
    </w:p>
    <w:p w:rsidR="00C41AC5" w:rsidRPr="00C41AC5" w:rsidRDefault="00C41AC5" w:rsidP="00C41AC5">
      <w:pPr>
        <w:pStyle w:val="ListParagraph"/>
        <w:ind w:left="1080"/>
        <w:rPr>
          <w:rFonts w:ascii="Segoe UI" w:hAnsi="Segoe UI" w:cs="Segoe UI"/>
          <w:sz w:val="21"/>
          <w:szCs w:val="21"/>
          <w:shd w:val="clear" w:color="auto" w:fill="FFFFFF"/>
        </w:rPr>
      </w:pPr>
    </w:p>
    <w:p w:rsidR="008E3279" w:rsidRPr="00C41AC5" w:rsidRDefault="008E3279" w:rsidP="00C41AC5">
      <w:pPr>
        <w:pStyle w:val="ListParagraph"/>
        <w:numPr>
          <w:ilvl w:val="0"/>
          <w:numId w:val="7"/>
        </w:numPr>
        <w:rPr>
          <w:rFonts w:ascii="Segoe UI" w:hAnsi="Segoe UI" w:cs="Segoe UI"/>
          <w:sz w:val="21"/>
          <w:szCs w:val="21"/>
          <w:shd w:val="clear" w:color="auto" w:fill="FFFFFF"/>
        </w:rPr>
      </w:pPr>
      <w:r w:rsidRPr="00C41AC5">
        <w:rPr>
          <w:rFonts w:ascii="Segoe UI" w:hAnsi="Segoe UI" w:cs="Segoe UI"/>
          <w:sz w:val="21"/>
          <w:szCs w:val="21"/>
          <w:shd w:val="clear" w:color="auto" w:fill="FFFFFF"/>
        </w:rPr>
        <w:t>Key Findings</w:t>
      </w:r>
    </w:p>
    <w:p w:rsidR="008E3279" w:rsidRPr="00C41AC5" w:rsidRDefault="008E3279" w:rsidP="00C41AC5">
      <w:pPr>
        <w:pStyle w:val="ListParagraph"/>
        <w:numPr>
          <w:ilvl w:val="0"/>
          <w:numId w:val="11"/>
        </w:numPr>
        <w:rPr>
          <w:rFonts w:ascii="Segoe UI" w:hAnsi="Segoe UI" w:cs="Segoe UI"/>
          <w:sz w:val="21"/>
          <w:szCs w:val="21"/>
          <w:shd w:val="clear" w:color="auto" w:fill="FFFFFF"/>
        </w:rPr>
      </w:pPr>
      <w:r w:rsidRPr="00C41AC5">
        <w:rPr>
          <w:rFonts w:ascii="Segoe UI" w:hAnsi="Segoe UI" w:cs="Segoe UI"/>
          <w:sz w:val="21"/>
          <w:szCs w:val="21"/>
          <w:shd w:val="clear" w:color="auto" w:fill="FFFFFF"/>
        </w:rPr>
        <w:t>Quantitative Insights:</w:t>
      </w:r>
    </w:p>
    <w:p w:rsidR="008E3279" w:rsidRPr="00C41AC5" w:rsidRDefault="008E3279" w:rsidP="00C41AC5">
      <w:pPr>
        <w:pStyle w:val="ListParagraph"/>
        <w:ind w:left="1080" w:firstLine="360"/>
        <w:rPr>
          <w:rFonts w:ascii="Segoe UI" w:hAnsi="Segoe UI" w:cs="Segoe UI"/>
          <w:sz w:val="21"/>
          <w:szCs w:val="21"/>
          <w:shd w:val="clear" w:color="auto" w:fill="FFFFFF"/>
        </w:rPr>
      </w:pPr>
      <w:r w:rsidRPr="00C41AC5">
        <w:rPr>
          <w:rFonts w:ascii="Segoe UI" w:hAnsi="Segoe UI" w:cs="Segoe UI"/>
          <w:sz w:val="21"/>
          <w:szCs w:val="21"/>
          <w:shd w:val="clear" w:color="auto" w:fill="FFFFFF"/>
        </w:rPr>
        <w:t>Positive Sentiment Events:</w:t>
      </w:r>
    </w:p>
    <w:p w:rsidR="008E3279" w:rsidRPr="00C41AC5" w:rsidRDefault="008E3279" w:rsidP="00C41AC5">
      <w:pPr>
        <w:pStyle w:val="ListParagraph"/>
        <w:numPr>
          <w:ilvl w:val="3"/>
          <w:numId w:val="11"/>
        </w:numPr>
        <w:rPr>
          <w:rFonts w:ascii="Segoe UI" w:hAnsi="Segoe UI" w:cs="Segoe UI"/>
          <w:sz w:val="21"/>
          <w:szCs w:val="21"/>
          <w:shd w:val="clear" w:color="auto" w:fill="FFFFFF"/>
        </w:rPr>
      </w:pPr>
      <w:r w:rsidRPr="00C41AC5">
        <w:rPr>
          <w:rFonts w:ascii="Segoe UI" w:hAnsi="Segoe UI" w:cs="Segoe UI"/>
          <w:sz w:val="21"/>
          <w:szCs w:val="21"/>
          <w:shd w:val="clear" w:color="auto" w:fill="FFFFFF"/>
        </w:rPr>
        <w:t>Pre-event cumulative return: +0.05%</w:t>
      </w:r>
    </w:p>
    <w:p w:rsidR="008E3279" w:rsidRPr="00C41AC5" w:rsidRDefault="008E3279" w:rsidP="00C41AC5">
      <w:pPr>
        <w:pStyle w:val="ListParagraph"/>
        <w:numPr>
          <w:ilvl w:val="3"/>
          <w:numId w:val="11"/>
        </w:numPr>
        <w:rPr>
          <w:rFonts w:ascii="Segoe UI" w:hAnsi="Segoe UI" w:cs="Segoe UI"/>
          <w:sz w:val="21"/>
          <w:szCs w:val="21"/>
          <w:shd w:val="clear" w:color="auto" w:fill="FFFFFF"/>
        </w:rPr>
      </w:pPr>
      <w:r w:rsidRPr="00C41AC5">
        <w:rPr>
          <w:rFonts w:ascii="Segoe UI" w:hAnsi="Segoe UI" w:cs="Segoe UI"/>
          <w:sz w:val="21"/>
          <w:szCs w:val="21"/>
          <w:shd w:val="clear" w:color="auto" w:fill="FFFFFF"/>
        </w:rPr>
        <w:t>Post-event cumulative return: -0.32%</w:t>
      </w:r>
    </w:p>
    <w:p w:rsidR="008E3279" w:rsidRPr="00C41AC5" w:rsidRDefault="008E3279" w:rsidP="00C41AC5">
      <w:pPr>
        <w:pStyle w:val="ListParagraph"/>
        <w:ind w:left="1080" w:firstLine="360"/>
        <w:rPr>
          <w:rFonts w:ascii="Segoe UI" w:hAnsi="Segoe UI" w:cs="Segoe UI"/>
          <w:sz w:val="21"/>
          <w:szCs w:val="21"/>
          <w:shd w:val="clear" w:color="auto" w:fill="FFFFFF"/>
        </w:rPr>
      </w:pPr>
      <w:r w:rsidRPr="00C41AC5">
        <w:rPr>
          <w:rFonts w:ascii="Segoe UI" w:hAnsi="Segoe UI" w:cs="Segoe UI"/>
          <w:sz w:val="21"/>
          <w:szCs w:val="21"/>
          <w:shd w:val="clear" w:color="auto" w:fill="FFFFFF"/>
        </w:rPr>
        <w:t>Negative Sentiment Events:</w:t>
      </w:r>
    </w:p>
    <w:p w:rsidR="008E3279" w:rsidRPr="00C41AC5" w:rsidRDefault="008E3279" w:rsidP="00C41AC5">
      <w:pPr>
        <w:pStyle w:val="ListParagraph"/>
        <w:numPr>
          <w:ilvl w:val="3"/>
          <w:numId w:val="11"/>
        </w:numPr>
        <w:rPr>
          <w:rFonts w:ascii="Segoe UI" w:hAnsi="Segoe UI" w:cs="Segoe UI"/>
          <w:sz w:val="21"/>
          <w:szCs w:val="21"/>
          <w:shd w:val="clear" w:color="auto" w:fill="FFFFFF"/>
        </w:rPr>
      </w:pPr>
      <w:r w:rsidRPr="00C41AC5">
        <w:rPr>
          <w:rFonts w:ascii="Segoe UI" w:hAnsi="Segoe UI" w:cs="Segoe UI"/>
          <w:sz w:val="21"/>
          <w:szCs w:val="21"/>
          <w:shd w:val="clear" w:color="auto" w:fill="FFFFFF"/>
        </w:rPr>
        <w:t>Pre-event cumulative return: +0.48%</w:t>
      </w:r>
    </w:p>
    <w:p w:rsidR="008E3279" w:rsidRPr="00C41AC5" w:rsidRDefault="008E3279" w:rsidP="00C41AC5">
      <w:pPr>
        <w:pStyle w:val="ListParagraph"/>
        <w:numPr>
          <w:ilvl w:val="3"/>
          <w:numId w:val="11"/>
        </w:numPr>
        <w:rPr>
          <w:rFonts w:ascii="Segoe UI" w:hAnsi="Segoe UI" w:cs="Segoe UI"/>
          <w:sz w:val="21"/>
          <w:szCs w:val="21"/>
          <w:shd w:val="clear" w:color="auto" w:fill="FFFFFF"/>
        </w:rPr>
      </w:pPr>
      <w:r w:rsidRPr="00C41AC5">
        <w:rPr>
          <w:rFonts w:ascii="Segoe UI" w:hAnsi="Segoe UI" w:cs="Segoe UI"/>
          <w:sz w:val="21"/>
          <w:szCs w:val="21"/>
          <w:shd w:val="clear" w:color="auto" w:fill="FFFFFF"/>
        </w:rPr>
        <w:t>Post-event cumulative return: -0.67%</w:t>
      </w:r>
    </w:p>
    <w:p w:rsidR="00C41AC5" w:rsidRDefault="00C41AC5" w:rsidP="00C41AC5">
      <w:pPr>
        <w:rPr>
          <w:rFonts w:ascii="Segoe UI" w:hAnsi="Segoe UI" w:cs="Segoe UI"/>
          <w:sz w:val="21"/>
          <w:szCs w:val="21"/>
          <w:shd w:val="clear" w:color="auto" w:fill="FFFFFF"/>
        </w:rPr>
      </w:pPr>
    </w:p>
    <w:p w:rsidR="008E3279" w:rsidRPr="00C41AC5" w:rsidRDefault="008E3279" w:rsidP="00C41AC5">
      <w:pPr>
        <w:pStyle w:val="ListParagraph"/>
        <w:numPr>
          <w:ilvl w:val="0"/>
          <w:numId w:val="11"/>
        </w:numPr>
        <w:rPr>
          <w:rFonts w:ascii="Segoe UI" w:hAnsi="Segoe UI" w:cs="Segoe UI"/>
          <w:sz w:val="21"/>
          <w:szCs w:val="21"/>
          <w:shd w:val="clear" w:color="auto" w:fill="FFFFFF"/>
        </w:rPr>
      </w:pPr>
      <w:r w:rsidRPr="00C41AC5">
        <w:rPr>
          <w:rFonts w:ascii="Segoe UI" w:hAnsi="Segoe UI" w:cs="Segoe UI"/>
          <w:sz w:val="21"/>
          <w:szCs w:val="21"/>
          <w:shd w:val="clear" w:color="auto" w:fill="FFFFFF"/>
        </w:rPr>
        <w:t xml:space="preserve">Market </w:t>
      </w:r>
      <w:r w:rsidR="00C41AC5" w:rsidRPr="00C41AC5">
        <w:rPr>
          <w:rFonts w:ascii="Segoe UI" w:hAnsi="Segoe UI" w:cs="Segoe UI"/>
          <w:sz w:val="21"/>
          <w:szCs w:val="21"/>
          <w:shd w:val="clear" w:color="auto" w:fill="FFFFFF"/>
        </w:rPr>
        <w:t>Behaviour</w:t>
      </w:r>
      <w:r w:rsidRPr="00C41AC5">
        <w:rPr>
          <w:rFonts w:ascii="Segoe UI" w:hAnsi="Segoe UI" w:cs="Segoe UI"/>
          <w:sz w:val="21"/>
          <w:szCs w:val="21"/>
          <w:shd w:val="clear" w:color="auto" w:fill="FFFFFF"/>
        </w:rPr>
        <w:t>:</w:t>
      </w:r>
      <w:r w:rsidR="00C41AC5">
        <w:rPr>
          <w:rFonts w:ascii="Segoe UI" w:hAnsi="Segoe UI" w:cs="Segoe UI"/>
          <w:sz w:val="21"/>
          <w:szCs w:val="21"/>
          <w:shd w:val="clear" w:color="auto" w:fill="FFFFFF"/>
        </w:rPr>
        <w:t xml:space="preserve"> </w:t>
      </w:r>
      <w:r w:rsidRPr="00C41AC5">
        <w:rPr>
          <w:rFonts w:ascii="Segoe UI" w:hAnsi="Segoe UI" w:cs="Segoe UI"/>
          <w:sz w:val="21"/>
          <w:szCs w:val="21"/>
          <w:shd w:val="clear" w:color="auto" w:fill="FFFFFF"/>
        </w:rPr>
        <w:t>Positive sentiment meetings were followed by slightly negative returns</w:t>
      </w:r>
      <w:r w:rsidR="00C45CB0" w:rsidRPr="00C41AC5">
        <w:rPr>
          <w:rFonts w:ascii="Segoe UI" w:hAnsi="Segoe UI" w:cs="Segoe UI"/>
          <w:sz w:val="21"/>
          <w:szCs w:val="21"/>
          <w:shd w:val="clear" w:color="auto" w:fill="FFFFFF"/>
        </w:rPr>
        <w:t xml:space="preserve">. This could possibly be because we had very few events (6 out of total 40) of positive sentiments of FOMC minutes, which is not enough to capture the impact of positive sentiments. Whereas </w:t>
      </w:r>
      <w:r w:rsidRPr="00C41AC5">
        <w:rPr>
          <w:rFonts w:ascii="Segoe UI" w:hAnsi="Segoe UI" w:cs="Segoe UI"/>
          <w:sz w:val="21"/>
          <w:szCs w:val="21"/>
          <w:shd w:val="clear" w:color="auto" w:fill="FFFFFF"/>
        </w:rPr>
        <w:t>Negative sentiment meetings showed even more significant post-event declines, reflecting heightened uncertainty or fear in the market.</w:t>
      </w:r>
    </w:p>
    <w:p w:rsidR="00C41AC5" w:rsidRDefault="00C41AC5" w:rsidP="00C41AC5">
      <w:pPr>
        <w:rPr>
          <w:rFonts w:ascii="Segoe UI" w:hAnsi="Segoe UI" w:cs="Segoe UI"/>
          <w:sz w:val="21"/>
          <w:szCs w:val="21"/>
          <w:shd w:val="clear" w:color="auto" w:fill="FFFFFF"/>
        </w:rPr>
      </w:pPr>
    </w:p>
    <w:p w:rsidR="008E3279" w:rsidRPr="00C41AC5" w:rsidRDefault="008E3279" w:rsidP="00C41AC5">
      <w:pPr>
        <w:pStyle w:val="ListParagraph"/>
        <w:numPr>
          <w:ilvl w:val="0"/>
          <w:numId w:val="11"/>
        </w:numPr>
        <w:rPr>
          <w:rFonts w:ascii="Segoe UI" w:hAnsi="Segoe UI" w:cs="Segoe UI"/>
          <w:sz w:val="21"/>
          <w:szCs w:val="21"/>
          <w:shd w:val="clear" w:color="auto" w:fill="FFFFFF"/>
        </w:rPr>
      </w:pPr>
      <w:r w:rsidRPr="00C41AC5">
        <w:rPr>
          <w:rFonts w:ascii="Segoe UI" w:hAnsi="Segoe UI" w:cs="Segoe UI"/>
          <w:sz w:val="21"/>
          <w:szCs w:val="21"/>
          <w:shd w:val="clear" w:color="auto" w:fill="FFFFFF"/>
        </w:rPr>
        <w:t>Volatility:</w:t>
      </w:r>
      <w:r w:rsidR="00C41AC5">
        <w:rPr>
          <w:rFonts w:ascii="Segoe UI" w:hAnsi="Segoe UI" w:cs="Segoe UI"/>
          <w:sz w:val="21"/>
          <w:szCs w:val="21"/>
          <w:shd w:val="clear" w:color="auto" w:fill="FFFFFF"/>
        </w:rPr>
        <w:t xml:space="preserve"> </w:t>
      </w:r>
      <w:r w:rsidRPr="00C41AC5">
        <w:rPr>
          <w:rFonts w:ascii="Segoe UI" w:hAnsi="Segoe UI" w:cs="Segoe UI"/>
          <w:sz w:val="21"/>
          <w:szCs w:val="21"/>
          <w:shd w:val="clear" w:color="auto" w:fill="FFFFFF"/>
        </w:rPr>
        <w:t>Negative sentiment meetings were associated with more pronounced volatility, as seen in the larger absolute differences between pre- and post-event returns.</w:t>
      </w:r>
    </w:p>
    <w:p w:rsidR="00C41AC5" w:rsidRDefault="00C41AC5" w:rsidP="00C41AC5">
      <w:pPr>
        <w:rPr>
          <w:rFonts w:ascii="Segoe UI" w:hAnsi="Segoe UI" w:cs="Segoe UI"/>
          <w:sz w:val="21"/>
          <w:szCs w:val="21"/>
          <w:shd w:val="clear" w:color="auto" w:fill="FFFFFF"/>
        </w:rPr>
      </w:pPr>
    </w:p>
    <w:p w:rsidR="00FB4BDD" w:rsidRPr="00C41AC5" w:rsidRDefault="00FB4BDD" w:rsidP="00C41AC5">
      <w:pPr>
        <w:pStyle w:val="ListParagraph"/>
        <w:numPr>
          <w:ilvl w:val="0"/>
          <w:numId w:val="11"/>
        </w:numPr>
        <w:rPr>
          <w:rFonts w:ascii="Segoe UI" w:hAnsi="Segoe UI" w:cs="Segoe UI"/>
          <w:sz w:val="21"/>
          <w:szCs w:val="21"/>
          <w:shd w:val="clear" w:color="auto" w:fill="FFFFFF"/>
        </w:rPr>
      </w:pPr>
      <w:r w:rsidRPr="00C41AC5">
        <w:rPr>
          <w:rFonts w:ascii="Segoe UI" w:hAnsi="Segoe UI" w:cs="Segoe UI"/>
          <w:sz w:val="21"/>
          <w:szCs w:val="21"/>
          <w:shd w:val="clear" w:color="auto" w:fill="FFFFFF"/>
        </w:rPr>
        <w:lastRenderedPageBreak/>
        <w:t xml:space="preserve">Correlation: </w:t>
      </w:r>
    </w:p>
    <w:p w:rsidR="00FB4BDD" w:rsidRPr="00C41AC5" w:rsidRDefault="00FB4BDD" w:rsidP="00C41AC5">
      <w:pPr>
        <w:rPr>
          <w:rFonts w:ascii="Segoe UI" w:hAnsi="Segoe UI" w:cs="Segoe UI"/>
          <w:sz w:val="21"/>
          <w:szCs w:val="21"/>
          <w:shd w:val="clear" w:color="auto" w:fill="FFFFFF"/>
        </w:rPr>
      </w:pPr>
      <w:r w:rsidRPr="00C41AC5">
        <w:rPr>
          <w:rFonts w:ascii="Segoe UI" w:hAnsi="Segoe UI" w:cs="Segoe UI"/>
          <w:noProof/>
          <w:sz w:val="21"/>
          <w:szCs w:val="21"/>
          <w:shd w:val="clear" w:color="auto" w:fill="FFFFFF"/>
        </w:rPr>
        <w:drawing>
          <wp:inline distT="0" distB="0" distL="0" distR="0" wp14:anchorId="422DA8DA" wp14:editId="28D00D77">
            <wp:extent cx="5731510" cy="2494915"/>
            <wp:effectExtent l="0" t="0" r="0" b="0"/>
            <wp:docPr id="180312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22056" name=""/>
                    <pic:cNvPicPr/>
                  </pic:nvPicPr>
                  <pic:blipFill>
                    <a:blip r:embed="rId5"/>
                    <a:stretch>
                      <a:fillRect/>
                    </a:stretch>
                  </pic:blipFill>
                  <pic:spPr>
                    <a:xfrm>
                      <a:off x="0" y="0"/>
                      <a:ext cx="5731510" cy="2494915"/>
                    </a:xfrm>
                    <a:prstGeom prst="rect">
                      <a:avLst/>
                    </a:prstGeom>
                  </pic:spPr>
                </pic:pic>
              </a:graphicData>
            </a:graphic>
          </wp:inline>
        </w:drawing>
      </w:r>
    </w:p>
    <w:p w:rsidR="00C41AC5" w:rsidRDefault="00C41AC5" w:rsidP="00C41AC5">
      <w:pPr>
        <w:ind w:left="720"/>
        <w:rPr>
          <w:rFonts w:ascii="Segoe UI" w:hAnsi="Segoe UI" w:cs="Segoe UI"/>
          <w:sz w:val="21"/>
          <w:szCs w:val="21"/>
          <w:shd w:val="clear" w:color="auto" w:fill="FFFFFF"/>
        </w:rPr>
      </w:pPr>
    </w:p>
    <w:p w:rsidR="00C41AC5" w:rsidRPr="00C41AC5" w:rsidRDefault="00FB4BDD" w:rsidP="00C41AC5">
      <w:pPr>
        <w:ind w:left="720"/>
        <w:rPr>
          <w:rFonts w:ascii="Segoe UI" w:hAnsi="Segoe UI" w:cs="Segoe UI"/>
          <w:sz w:val="21"/>
          <w:szCs w:val="21"/>
          <w:shd w:val="clear" w:color="auto" w:fill="FFFFFF"/>
        </w:rPr>
      </w:pPr>
      <w:r w:rsidRPr="00C41AC5">
        <w:rPr>
          <w:rFonts w:ascii="Segoe UI" w:hAnsi="Segoe UI" w:cs="Segoe UI"/>
          <w:sz w:val="21"/>
          <w:szCs w:val="21"/>
          <w:shd w:val="clear" w:color="auto" w:fill="FFFFFF"/>
        </w:rPr>
        <w:t xml:space="preserve">Synchronized Movements: </w:t>
      </w:r>
      <w:r w:rsidR="00C41AC5" w:rsidRPr="00C41AC5">
        <w:rPr>
          <w:rFonts w:ascii="Segoe UI" w:hAnsi="Segoe UI" w:cs="Segoe UI"/>
          <w:sz w:val="21"/>
          <w:szCs w:val="21"/>
          <w:shd w:val="clear" w:color="auto" w:fill="FFFFFF"/>
        </w:rPr>
        <w:t>During certain periods, such as 2020 to mid-2021 and 2022 to mid-2023, the sentiment score and the S&amp;P 500 Index appear to move in sync. Peaks in the stock market often align with higher positive sentiment scores, while dips correspond to more negative sentiment. This pattern suggests that in bullish markets, FOMC minutes tend to reflect a more optimistic outlook, whereas in bearish phases, the tone becomes more cautious or reserved.</w:t>
      </w:r>
    </w:p>
    <w:p w:rsidR="00C41AC5" w:rsidRDefault="00C41AC5" w:rsidP="00C41AC5">
      <w:pPr>
        <w:ind w:left="720"/>
        <w:rPr>
          <w:rFonts w:ascii="Segoe UI" w:hAnsi="Segoe UI" w:cs="Segoe UI"/>
          <w:sz w:val="21"/>
          <w:szCs w:val="21"/>
          <w:shd w:val="clear" w:color="auto" w:fill="FFFFFF"/>
        </w:rPr>
      </w:pPr>
    </w:p>
    <w:p w:rsidR="00C41AC5" w:rsidRPr="00C41AC5" w:rsidRDefault="00FB4BDD" w:rsidP="00C41AC5">
      <w:pPr>
        <w:ind w:left="720"/>
        <w:rPr>
          <w:rFonts w:ascii="Segoe UI" w:hAnsi="Segoe UI" w:cs="Segoe UI"/>
          <w:sz w:val="21"/>
          <w:szCs w:val="21"/>
          <w:shd w:val="clear" w:color="auto" w:fill="FFFFFF"/>
        </w:rPr>
      </w:pPr>
      <w:r w:rsidRPr="00C41AC5">
        <w:rPr>
          <w:rFonts w:ascii="Segoe UI" w:hAnsi="Segoe UI" w:cs="Segoe UI"/>
          <w:sz w:val="21"/>
          <w:szCs w:val="21"/>
          <w:shd w:val="clear" w:color="auto" w:fill="FFFFFF"/>
        </w:rPr>
        <w:t xml:space="preserve">Divergences: </w:t>
      </w:r>
      <w:r w:rsidR="00C41AC5" w:rsidRPr="00C41AC5">
        <w:rPr>
          <w:rFonts w:ascii="Segoe UI" w:hAnsi="Segoe UI" w:cs="Segoe UI"/>
          <w:sz w:val="21"/>
          <w:szCs w:val="21"/>
          <w:shd w:val="clear" w:color="auto" w:fill="FFFFFF"/>
        </w:rPr>
        <w:t>However, this relationship is not always consistent. Instances of divergence between the sentiment score and the S&amp;P 500 Index indicate that other external influences, beyond the tone of FOMC minutes, may have played a significant role in shaping market movements. These factors could include broader economic data, geopolitical events, or unexpected shifts in monetary policy.</w:t>
      </w:r>
    </w:p>
    <w:p w:rsidR="00C41AC5" w:rsidRDefault="00C41AC5" w:rsidP="00C41AC5">
      <w:pPr>
        <w:ind w:left="720"/>
        <w:rPr>
          <w:rFonts w:ascii="Segoe UI" w:hAnsi="Segoe UI" w:cs="Segoe UI"/>
          <w:sz w:val="21"/>
          <w:szCs w:val="21"/>
          <w:shd w:val="clear" w:color="auto" w:fill="FFFFFF"/>
        </w:rPr>
      </w:pPr>
    </w:p>
    <w:p w:rsidR="00FB4BDD" w:rsidRPr="00C41AC5" w:rsidRDefault="00FB4BDD" w:rsidP="00C41AC5">
      <w:pPr>
        <w:ind w:left="720"/>
        <w:rPr>
          <w:rFonts w:ascii="Segoe UI" w:hAnsi="Segoe UI" w:cs="Segoe UI"/>
          <w:sz w:val="21"/>
          <w:szCs w:val="21"/>
          <w:shd w:val="clear" w:color="auto" w:fill="FFFFFF"/>
        </w:rPr>
      </w:pPr>
      <w:r w:rsidRPr="00C41AC5">
        <w:rPr>
          <w:rFonts w:ascii="Segoe UI" w:hAnsi="Segoe UI" w:cs="Segoe UI"/>
          <w:sz w:val="21"/>
          <w:szCs w:val="21"/>
          <w:shd w:val="clear" w:color="auto" w:fill="FFFFFF"/>
        </w:rPr>
        <w:t xml:space="preserve">General Reflection: </w:t>
      </w:r>
      <w:r w:rsidR="00C41AC5" w:rsidRPr="00C41AC5">
        <w:rPr>
          <w:rFonts w:ascii="Segoe UI" w:hAnsi="Segoe UI" w:cs="Segoe UI"/>
          <w:sz w:val="21"/>
          <w:szCs w:val="21"/>
          <w:shd w:val="clear" w:color="auto" w:fill="FFFFFF"/>
        </w:rPr>
        <w:t xml:space="preserve">Although this analysis does not establish a direct cause-and-effect relationship, the trends observed suggest that the sentiment in FOMC minutes could potentially act as a leading or concurrent indicator of market performance. Investors might use this information as part of a broader strategy to anticipate market </w:t>
      </w:r>
      <w:proofErr w:type="spellStart"/>
      <w:r w:rsidR="00C41AC5" w:rsidRPr="00C41AC5">
        <w:rPr>
          <w:rFonts w:ascii="Segoe UI" w:hAnsi="Segoe UI" w:cs="Segoe UI"/>
          <w:sz w:val="21"/>
          <w:szCs w:val="21"/>
          <w:shd w:val="clear" w:color="auto" w:fill="FFFFFF"/>
        </w:rPr>
        <w:t>behavior</w:t>
      </w:r>
      <w:proofErr w:type="spellEnd"/>
      <w:r w:rsidR="00C41AC5" w:rsidRPr="00C41AC5">
        <w:rPr>
          <w:rFonts w:ascii="Segoe UI" w:hAnsi="Segoe UI" w:cs="Segoe UI"/>
          <w:sz w:val="21"/>
          <w:szCs w:val="21"/>
          <w:shd w:val="clear" w:color="auto" w:fill="FFFFFF"/>
        </w:rPr>
        <w:t>.</w:t>
      </w:r>
      <w:r w:rsidRPr="00C41AC5">
        <w:rPr>
          <w:rFonts w:ascii="Segoe UI" w:hAnsi="Segoe UI" w:cs="Segoe UI"/>
          <w:sz w:val="21"/>
          <w:szCs w:val="21"/>
          <w:shd w:val="clear" w:color="auto" w:fill="FFFFFF"/>
        </w:rPr>
        <w:t>.</w:t>
      </w:r>
    </w:p>
    <w:p w:rsidR="00C41AC5" w:rsidRDefault="00C41AC5" w:rsidP="00C41AC5">
      <w:pPr>
        <w:rPr>
          <w:rFonts w:ascii="Segoe UI" w:hAnsi="Segoe UI" w:cs="Segoe UI"/>
          <w:sz w:val="21"/>
          <w:szCs w:val="21"/>
          <w:shd w:val="clear" w:color="auto" w:fill="FFFFFF"/>
        </w:rPr>
      </w:pPr>
    </w:p>
    <w:p w:rsidR="00FB4BDD" w:rsidRPr="00C41AC5" w:rsidRDefault="00FB4BDD" w:rsidP="00C41AC5">
      <w:pPr>
        <w:pStyle w:val="ListParagraph"/>
        <w:numPr>
          <w:ilvl w:val="0"/>
          <w:numId w:val="7"/>
        </w:numPr>
        <w:rPr>
          <w:rFonts w:ascii="Segoe UI" w:hAnsi="Segoe UI" w:cs="Segoe UI"/>
          <w:sz w:val="21"/>
          <w:szCs w:val="21"/>
          <w:shd w:val="clear" w:color="auto" w:fill="FFFFFF"/>
        </w:rPr>
      </w:pPr>
      <w:r w:rsidRPr="00C41AC5">
        <w:rPr>
          <w:rFonts w:ascii="Segoe UI" w:hAnsi="Segoe UI" w:cs="Segoe UI"/>
          <w:sz w:val="21"/>
          <w:szCs w:val="21"/>
          <w:shd w:val="clear" w:color="auto" w:fill="FFFFFF"/>
        </w:rPr>
        <w:t>Conclusion:</w:t>
      </w:r>
    </w:p>
    <w:p w:rsidR="008E3279" w:rsidRDefault="008E3279" w:rsidP="00C41AC5">
      <w:pPr>
        <w:pStyle w:val="ListParagraph"/>
        <w:numPr>
          <w:ilvl w:val="0"/>
          <w:numId w:val="12"/>
        </w:numPr>
        <w:rPr>
          <w:rFonts w:ascii="Segoe UI" w:hAnsi="Segoe UI" w:cs="Segoe UI"/>
          <w:sz w:val="21"/>
          <w:szCs w:val="21"/>
          <w:shd w:val="clear" w:color="auto" w:fill="FFFFFF"/>
        </w:rPr>
      </w:pPr>
      <w:r w:rsidRPr="00C41AC5">
        <w:rPr>
          <w:rFonts w:ascii="Segoe UI" w:hAnsi="Segoe UI" w:cs="Segoe UI"/>
          <w:sz w:val="21"/>
          <w:szCs w:val="21"/>
          <w:shd w:val="clear" w:color="auto" w:fill="FFFFFF"/>
        </w:rPr>
        <w:t>Sentiment and Market Reactions:</w:t>
      </w:r>
      <w:r w:rsidR="00FB4BDD" w:rsidRPr="00C41AC5">
        <w:rPr>
          <w:rFonts w:ascii="Segoe UI" w:hAnsi="Segoe UI" w:cs="Segoe UI"/>
          <w:sz w:val="21"/>
          <w:szCs w:val="21"/>
          <w:shd w:val="clear" w:color="auto" w:fill="FFFFFF"/>
        </w:rPr>
        <w:t xml:space="preserve"> </w:t>
      </w:r>
      <w:r w:rsidRPr="00C41AC5">
        <w:rPr>
          <w:rFonts w:ascii="Segoe UI" w:hAnsi="Segoe UI" w:cs="Segoe UI"/>
          <w:sz w:val="21"/>
          <w:szCs w:val="21"/>
          <w:shd w:val="clear" w:color="auto" w:fill="FFFFFF"/>
        </w:rPr>
        <w:t>Sentiment derived from FOMC minutes has a noticeable correlation with market returns. Negative sentiment events tend to drive stronger pre-event returns but result in sharper post-event declines.</w:t>
      </w:r>
    </w:p>
    <w:p w:rsidR="00C41AC5" w:rsidRPr="00C41AC5" w:rsidRDefault="00C41AC5" w:rsidP="00C41AC5">
      <w:pPr>
        <w:pStyle w:val="ListParagraph"/>
        <w:ind w:left="1080"/>
        <w:rPr>
          <w:rFonts w:ascii="Segoe UI" w:hAnsi="Segoe UI" w:cs="Segoe UI"/>
          <w:sz w:val="21"/>
          <w:szCs w:val="21"/>
          <w:shd w:val="clear" w:color="auto" w:fill="FFFFFF"/>
        </w:rPr>
      </w:pPr>
    </w:p>
    <w:p w:rsidR="008E3279" w:rsidRDefault="008E3279" w:rsidP="00C41AC5">
      <w:pPr>
        <w:pStyle w:val="ListParagraph"/>
        <w:numPr>
          <w:ilvl w:val="0"/>
          <w:numId w:val="12"/>
        </w:numPr>
        <w:rPr>
          <w:rFonts w:ascii="Segoe UI" w:hAnsi="Segoe UI" w:cs="Segoe UI"/>
          <w:sz w:val="21"/>
          <w:szCs w:val="21"/>
          <w:shd w:val="clear" w:color="auto" w:fill="FFFFFF"/>
        </w:rPr>
      </w:pPr>
      <w:r w:rsidRPr="00C41AC5">
        <w:rPr>
          <w:rFonts w:ascii="Segoe UI" w:hAnsi="Segoe UI" w:cs="Segoe UI"/>
          <w:sz w:val="21"/>
          <w:szCs w:val="21"/>
          <w:shd w:val="clear" w:color="auto" w:fill="FFFFFF"/>
        </w:rPr>
        <w:t>Implications for Investors:</w:t>
      </w:r>
      <w:r w:rsidR="00FB4BDD" w:rsidRPr="00C41AC5">
        <w:rPr>
          <w:rFonts w:ascii="Segoe UI" w:hAnsi="Segoe UI" w:cs="Segoe UI"/>
          <w:sz w:val="21"/>
          <w:szCs w:val="21"/>
          <w:shd w:val="clear" w:color="auto" w:fill="FFFFFF"/>
        </w:rPr>
        <w:t xml:space="preserve"> </w:t>
      </w:r>
      <w:r w:rsidRPr="00C41AC5">
        <w:rPr>
          <w:rFonts w:ascii="Segoe UI" w:hAnsi="Segoe UI" w:cs="Segoe UI"/>
          <w:sz w:val="21"/>
          <w:szCs w:val="21"/>
          <w:shd w:val="clear" w:color="auto" w:fill="FFFFFF"/>
        </w:rPr>
        <w:t>Positive sentiment does not guarantee positive market reactions</w:t>
      </w:r>
      <w:r w:rsidR="00FB4BDD" w:rsidRPr="00C41AC5">
        <w:rPr>
          <w:rFonts w:ascii="Segoe UI" w:hAnsi="Segoe UI" w:cs="Segoe UI"/>
          <w:sz w:val="21"/>
          <w:szCs w:val="21"/>
          <w:shd w:val="clear" w:color="auto" w:fill="FFFFFF"/>
        </w:rPr>
        <w:t xml:space="preserve"> (but that could be because of less data around positive sentiment in last 5 years)</w:t>
      </w:r>
      <w:r w:rsidRPr="00C41AC5">
        <w:rPr>
          <w:rFonts w:ascii="Segoe UI" w:hAnsi="Segoe UI" w:cs="Segoe UI"/>
          <w:sz w:val="21"/>
          <w:szCs w:val="21"/>
          <w:shd w:val="clear" w:color="auto" w:fill="FFFFFF"/>
        </w:rPr>
        <w:t>, highlighting the complexity of interpreting FOMC communications. Conversely, negative sentiment often aligns with increased market caution and volatility.</w:t>
      </w:r>
    </w:p>
    <w:p w:rsidR="00C41AC5" w:rsidRPr="00C41AC5" w:rsidRDefault="00C41AC5" w:rsidP="00C41AC5">
      <w:pPr>
        <w:rPr>
          <w:rFonts w:ascii="Segoe UI" w:hAnsi="Segoe UI" w:cs="Segoe UI"/>
          <w:sz w:val="21"/>
          <w:szCs w:val="21"/>
          <w:shd w:val="clear" w:color="auto" w:fill="FFFFFF"/>
        </w:rPr>
      </w:pPr>
    </w:p>
    <w:p w:rsidR="002912B0" w:rsidRPr="00C41AC5" w:rsidRDefault="00C41AC5" w:rsidP="00C41AC5">
      <w:pPr>
        <w:pStyle w:val="ListParagraph"/>
        <w:numPr>
          <w:ilvl w:val="0"/>
          <w:numId w:val="12"/>
        </w:numPr>
        <w:rPr>
          <w:rFonts w:ascii="Segoe UI" w:hAnsi="Segoe UI" w:cs="Segoe UI"/>
          <w:sz w:val="21"/>
          <w:szCs w:val="21"/>
          <w:shd w:val="clear" w:color="auto" w:fill="FFFFFF"/>
        </w:rPr>
      </w:pPr>
      <w:r w:rsidRPr="00C41AC5">
        <w:rPr>
          <w:rFonts w:ascii="Segoe UI" w:hAnsi="Segoe UI" w:cs="Segoe UI"/>
          <w:sz w:val="21"/>
          <w:szCs w:val="21"/>
          <w:shd w:val="clear" w:color="auto" w:fill="FFFFFF"/>
        </w:rPr>
        <w:t xml:space="preserve">Periods marked by negative sentiment in FOMC meetings tend to offer lower-than-expected returns and come with higher-than-usual risks, as indicated by increased volatility. This suggests that investors should exercise caution during such times, as </w:t>
      </w:r>
      <w:r w:rsidRPr="00C41AC5">
        <w:rPr>
          <w:rFonts w:ascii="Segoe UI" w:hAnsi="Segoe UI" w:cs="Segoe UI"/>
          <w:sz w:val="21"/>
          <w:szCs w:val="21"/>
          <w:shd w:val="clear" w:color="auto" w:fill="FFFFFF"/>
        </w:rPr>
        <w:lastRenderedPageBreak/>
        <w:t>these periods are associated with both reduced return potential and elevated uncertainty.</w:t>
      </w:r>
    </w:p>
    <w:sectPr w:rsidR="002912B0" w:rsidRPr="00C41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80370"/>
    <w:multiLevelType w:val="hybridMultilevel"/>
    <w:tmpl w:val="FB521D9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 w15:restartNumberingAfterBreak="0">
    <w:nsid w:val="142D4890"/>
    <w:multiLevelType w:val="hybridMultilevel"/>
    <w:tmpl w:val="59CECD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9B1927"/>
    <w:multiLevelType w:val="multilevel"/>
    <w:tmpl w:val="4C04BE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A2EFB"/>
    <w:multiLevelType w:val="multilevel"/>
    <w:tmpl w:val="2FB0F4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697BFB"/>
    <w:multiLevelType w:val="hybridMultilevel"/>
    <w:tmpl w:val="3510124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35CC190B"/>
    <w:multiLevelType w:val="multilevel"/>
    <w:tmpl w:val="BCEA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0D094F"/>
    <w:multiLevelType w:val="multilevel"/>
    <w:tmpl w:val="8C5E7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4"/>
      <w:numFmt w:val="bullet"/>
      <w:lvlText w:val="-"/>
      <w:lvlJc w:val="left"/>
      <w:pPr>
        <w:ind w:left="2160" w:hanging="360"/>
      </w:pPr>
      <w:rPr>
        <w:rFonts w:ascii="Calibri" w:eastAsiaTheme="minorHAnsi"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BB1EF8"/>
    <w:multiLevelType w:val="hybridMultilevel"/>
    <w:tmpl w:val="8CB68C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1244B33"/>
    <w:multiLevelType w:val="multilevel"/>
    <w:tmpl w:val="5F907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A23703"/>
    <w:multiLevelType w:val="hybridMultilevel"/>
    <w:tmpl w:val="AF641F60"/>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0" w15:restartNumberingAfterBreak="0">
    <w:nsid w:val="5F9646E4"/>
    <w:multiLevelType w:val="hybridMultilevel"/>
    <w:tmpl w:val="CA8C02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15:restartNumberingAfterBreak="0">
    <w:nsid w:val="60C700FD"/>
    <w:multiLevelType w:val="hybridMultilevel"/>
    <w:tmpl w:val="286C33B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num w:numId="1" w16cid:durableId="2090541055">
    <w:abstractNumId w:val="5"/>
  </w:num>
  <w:num w:numId="2" w16cid:durableId="259262721">
    <w:abstractNumId w:val="6"/>
  </w:num>
  <w:num w:numId="3" w16cid:durableId="1647320353">
    <w:abstractNumId w:val="2"/>
  </w:num>
  <w:num w:numId="4" w16cid:durableId="637686850">
    <w:abstractNumId w:val="8"/>
  </w:num>
  <w:num w:numId="5" w16cid:durableId="1987779073">
    <w:abstractNumId w:val="3"/>
  </w:num>
  <w:num w:numId="6" w16cid:durableId="779759053">
    <w:abstractNumId w:val="7"/>
  </w:num>
  <w:num w:numId="7" w16cid:durableId="517232820">
    <w:abstractNumId w:val="1"/>
  </w:num>
  <w:num w:numId="8" w16cid:durableId="234702753">
    <w:abstractNumId w:val="4"/>
  </w:num>
  <w:num w:numId="9" w16cid:durableId="1109743453">
    <w:abstractNumId w:val="10"/>
  </w:num>
  <w:num w:numId="10" w16cid:durableId="981498431">
    <w:abstractNumId w:val="0"/>
  </w:num>
  <w:num w:numId="11" w16cid:durableId="1950962288">
    <w:abstractNumId w:val="9"/>
  </w:num>
  <w:num w:numId="12" w16cid:durableId="959654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B03"/>
    <w:rsid w:val="00031D8D"/>
    <w:rsid w:val="002912B0"/>
    <w:rsid w:val="00412BB6"/>
    <w:rsid w:val="008E3279"/>
    <w:rsid w:val="00C41AC5"/>
    <w:rsid w:val="00C45CB0"/>
    <w:rsid w:val="00DA4B03"/>
    <w:rsid w:val="00FB4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B6C"/>
  <w15:chartTrackingRefBased/>
  <w15:docId w15:val="{201822BA-56A4-3F4F-8904-4989F437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E3279"/>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E3279"/>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8E3279"/>
    <w:rPr>
      <w:b/>
      <w:bCs/>
    </w:rPr>
  </w:style>
  <w:style w:type="paragraph" w:styleId="NormalWeb">
    <w:name w:val="Normal (Web)"/>
    <w:basedOn w:val="Normal"/>
    <w:uiPriority w:val="99"/>
    <w:unhideWhenUsed/>
    <w:rsid w:val="008E3279"/>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E3279"/>
  </w:style>
  <w:style w:type="character" w:styleId="HTMLCode">
    <w:name w:val="HTML Code"/>
    <w:basedOn w:val="DefaultParagraphFont"/>
    <w:uiPriority w:val="99"/>
    <w:semiHidden/>
    <w:unhideWhenUsed/>
    <w:rsid w:val="008E3279"/>
    <w:rPr>
      <w:rFonts w:ascii="Courier New" w:eastAsia="Times New Roman" w:hAnsi="Courier New" w:cs="Courier New"/>
      <w:sz w:val="20"/>
      <w:szCs w:val="20"/>
    </w:rPr>
  </w:style>
  <w:style w:type="paragraph" w:styleId="ListParagraph">
    <w:name w:val="List Paragraph"/>
    <w:basedOn w:val="Normal"/>
    <w:uiPriority w:val="34"/>
    <w:qFormat/>
    <w:rsid w:val="00FB4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382112">
      <w:bodyDiv w:val="1"/>
      <w:marLeft w:val="0"/>
      <w:marRight w:val="0"/>
      <w:marTop w:val="0"/>
      <w:marBottom w:val="0"/>
      <w:divBdr>
        <w:top w:val="none" w:sz="0" w:space="0" w:color="auto"/>
        <w:left w:val="none" w:sz="0" w:space="0" w:color="auto"/>
        <w:bottom w:val="none" w:sz="0" w:space="0" w:color="auto"/>
        <w:right w:val="none" w:sz="0" w:space="0" w:color="auto"/>
      </w:divBdr>
    </w:div>
    <w:div w:id="1113212368">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Vasid</dc:creator>
  <cp:keywords/>
  <dc:description/>
  <cp:lastModifiedBy>Ishrat Vasid</cp:lastModifiedBy>
  <cp:revision>5</cp:revision>
  <dcterms:created xsi:type="dcterms:W3CDTF">2024-11-25T11:11:00Z</dcterms:created>
  <dcterms:modified xsi:type="dcterms:W3CDTF">2024-11-25T11:55:00Z</dcterms:modified>
</cp:coreProperties>
</file>