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C01" w:rsidRPr="00B21C01" w:rsidRDefault="002912B0" w:rsidP="00B21C01">
      <w:pPr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 xml:space="preserve">Problem Statement </w:t>
      </w:r>
      <w:r w:rsidR="007758E8">
        <w:rPr>
          <w:rFonts w:ascii="Segoe UI" w:hAnsi="Segoe UI" w:cs="Segoe UI"/>
          <w:sz w:val="21"/>
          <w:szCs w:val="21"/>
          <w:shd w:val="clear" w:color="auto" w:fill="FFFFFF"/>
        </w:rPr>
        <w:t>3</w:t>
      </w: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B21C01" w:rsidRPr="00B21C01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Evaluate the relationship between US equity and bond markets and comment on its evolution over time by substantiating it with statistical analysis and macro-economic reasoning. Further, breakdown the relationship by equity sector.</w:t>
      </w:r>
    </w:p>
    <w:p w:rsidR="00412D50" w:rsidRDefault="00412D50" w:rsidP="002912B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12BB6" w:rsidRPr="00412BB6" w:rsidRDefault="00412BB6" w:rsidP="002912B0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12BB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Python Code: </w:t>
      </w:r>
      <w:r w:rsidR="00C40A5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USmarket</w:t>
      </w:r>
      <w:r w:rsidRPr="00412BB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.py</w:t>
      </w:r>
    </w:p>
    <w:p w:rsidR="007758E8" w:rsidRDefault="007758E8" w:rsidP="00C41AC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24D35" w:rsidRDefault="008E3279" w:rsidP="00124D35">
      <w:pPr>
        <w:pStyle w:val="ListParagraph"/>
        <w:numPr>
          <w:ilvl w:val="0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>Data Collection:</w:t>
      </w:r>
    </w:p>
    <w:p w:rsidR="00673967" w:rsidRPr="00673967" w:rsidRDefault="00673967" w:rsidP="00673967">
      <w:pPr>
        <w:pStyle w:val="ListParagraph"/>
        <w:numPr>
          <w:ilvl w:val="0"/>
          <w:numId w:val="22"/>
        </w:numPr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</w:pPr>
      <w:r w:rsidRPr="0067396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Equity market data was sourced from Yahoo Finance,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past 10 years</w:t>
      </w:r>
      <w:r w:rsidRPr="0067396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 xml:space="preserve"> including S&amp;P 500 and key sector indices (Technology, Financials, Healthcare).</w:t>
      </w:r>
    </w:p>
    <w:p w:rsidR="00C41AC5" w:rsidRPr="00673967" w:rsidRDefault="00673967" w:rsidP="00673967">
      <w:pPr>
        <w:pStyle w:val="ListParagraph"/>
        <w:numPr>
          <w:ilvl w:val="0"/>
          <w:numId w:val="22"/>
        </w:numPr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</w:pPr>
      <w:r w:rsidRPr="0067396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Bond market proxy is the 10-Year Treasury Yield (10Y Yield).</w:t>
      </w:r>
    </w:p>
    <w:p w:rsidR="00673967" w:rsidRDefault="00673967" w:rsidP="00673967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73967" w:rsidRPr="00673967" w:rsidRDefault="00673967" w:rsidP="0067396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673967">
        <w:rPr>
          <w:rFonts w:ascii="Segoe UI" w:eastAsiaTheme="minorHAnsi" w:hAnsi="Segoe UI" w:cs="Segoe UI"/>
          <w:sz w:val="21"/>
          <w:szCs w:val="21"/>
          <w:shd w:val="clear" w:color="auto" w:fill="FFFFFF"/>
        </w:rPr>
        <w:t>Statistical Analysis:</w:t>
      </w:r>
    </w:p>
    <w:p w:rsidR="00673967" w:rsidRPr="00673967" w:rsidRDefault="00673967" w:rsidP="00673967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673967">
        <w:rPr>
          <w:rFonts w:ascii="Segoe UI" w:eastAsiaTheme="minorHAnsi" w:hAnsi="Segoe UI" w:cs="Segoe UI"/>
          <w:sz w:val="21"/>
          <w:szCs w:val="21"/>
          <w:shd w:val="clear" w:color="auto" w:fill="FFFFFF"/>
        </w:rPr>
        <w:t>Rolling Correlation: Assessed the time-varying relationship between equity sectors and bond yields.</w:t>
      </w:r>
    </w:p>
    <w:p w:rsidR="00673967" w:rsidRDefault="00673967" w:rsidP="00673967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673967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Regression Analysis: Quantified the sensitivity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equity return and </w:t>
      </w:r>
      <w:r w:rsidRPr="00673967">
        <w:rPr>
          <w:rFonts w:ascii="Segoe UI" w:eastAsiaTheme="minorHAnsi" w:hAnsi="Segoe UI" w:cs="Segoe UI"/>
          <w:sz w:val="21"/>
          <w:szCs w:val="21"/>
          <w:shd w:val="clear" w:color="auto" w:fill="FFFFFF"/>
        </w:rPr>
        <w:t>sector returns to changes in bond yields.</w:t>
      </w:r>
    </w:p>
    <w:p w:rsidR="00673967" w:rsidRPr="00673967" w:rsidRDefault="00673967" w:rsidP="00673967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E3279" w:rsidRPr="00C41AC5" w:rsidRDefault="008E3279" w:rsidP="00C41AC5">
      <w:pPr>
        <w:pStyle w:val="ListParagraph"/>
        <w:numPr>
          <w:ilvl w:val="0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>Key Findings</w:t>
      </w:r>
    </w:p>
    <w:p w:rsidR="008E3279" w:rsidRDefault="00673967" w:rsidP="00C41AC5">
      <w:pPr>
        <w:pStyle w:val="ListParagraph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Rolling Correlation</w:t>
      </w:r>
      <w:r w:rsidR="008E3279" w:rsidRPr="00C41AC5"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:rsidR="00673967" w:rsidRPr="00C41AC5" w:rsidRDefault="00673967" w:rsidP="00673967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41AC5" w:rsidRDefault="00673967" w:rsidP="0067396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673967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6990E5F0" wp14:editId="75E60733">
            <wp:extent cx="4533900" cy="2362200"/>
            <wp:effectExtent l="0" t="0" r="0" b="0"/>
            <wp:docPr id="9790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47" w:rsidRP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7E574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S&amp;P 500: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rolling correlation fluctuates, staying generally positive but dropping below zero at certain periods (late 2020–2021 and 2023).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ositive correlation during most of the period suggests that equities and bond yields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moving alongside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, reflecting economic optimism.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Negative correlation in some phases aligns with periods of economic uncertainty, where "flight-to-safety" dynamics dominate.</w:t>
      </w:r>
    </w:p>
    <w:p w:rsid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E5747" w:rsidRP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Pr="007E574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echnology: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Technology shows a weaker correlation compared to other sectors, frequently dropping below zero (late 2018, 2020–2021, and 2023–2024).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This reflects the sector's sensitivity to bond yields, as rising yields increase the discount rate for high-growth companies, negatively affecting their valuations.</w:t>
      </w:r>
    </w:p>
    <w:p w:rsid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E5747" w:rsidRP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7E574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Financials: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Financials display the strongest and most consistent positive correlation with bond yields.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his is expected since the sector benefits directly from higher yields through improved interest rate margins and profitability.</w:t>
      </w:r>
    </w:p>
    <w:p w:rsid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 w:rsidRPr="007E574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lastRenderedPageBreak/>
        <w:t>Healthcare: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Healthcare demonstrates a generally lower and more stable correlation compared to other sectors.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E5747">
        <w:rPr>
          <w:rFonts w:ascii="Segoe UI" w:eastAsiaTheme="minorHAnsi" w:hAnsi="Segoe UI" w:cs="Segoe UI"/>
          <w:sz w:val="21"/>
          <w:szCs w:val="21"/>
          <w:shd w:val="clear" w:color="auto" w:fill="FFFFFF"/>
        </w:rPr>
        <w:t>It occasionally dips below zero (e.g., early 2021), reflecting its defensive characteristics and lower sensitivity to macroeconomic interest rate changes.</w:t>
      </w:r>
    </w:p>
    <w:p w:rsidR="007E5747" w:rsidRDefault="007E5747" w:rsidP="007E5747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E5747" w:rsidRPr="007E5747" w:rsidRDefault="007E5747" w:rsidP="007E574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Regression Analysis:</w:t>
      </w:r>
    </w:p>
    <w:p w:rsidR="00673967" w:rsidRPr="007E5747" w:rsidRDefault="007E5747" w:rsidP="007E5747">
      <w:pPr>
        <w:pStyle w:val="ListParagraph"/>
        <w:numPr>
          <w:ilvl w:val="0"/>
          <w:numId w:val="3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S&amp;P500:</w:t>
      </w:r>
    </w:p>
    <w:p w:rsidR="003355AE" w:rsidRDefault="007E5747" w:rsidP="003355AE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>
            <wp:extent cx="4184616" cy="2396905"/>
            <wp:effectExtent l="0" t="0" r="0" b="3810"/>
            <wp:docPr id="37647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7001" name="Picture 37647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66" cy="24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AE" w:rsidRDefault="003355AE" w:rsidP="003355AE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355AE" w:rsidRDefault="003355AE" w:rsidP="003355AE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Regression Coefficients: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coefficient for the 10Y Yield is 0.1017, which is positive and statistically significant (p-value &lt; 0.001). This suggests that a 1% increase in the 10Y Yield is associated with a 10.17 basis points increase in the S&amp;P 500's daily return on average.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constant term is 0.0004 (marginally significant with a p-value of 0.056), implying a small baseline return independent of bond yields.</w:t>
      </w:r>
    </w:p>
    <w:p w:rsidR="003355AE" w:rsidRPr="003355AE" w:rsidRDefault="003355AE" w:rsidP="003355AE">
      <w:pPr>
        <w:pStyle w:val="ListParagraph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3355AE" w:rsidRDefault="003355AE" w:rsidP="003355A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Model Fit: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R-squared: 0.081, indicating that about 8.1% of the variation in the S&amp;P 500's returns is explained by changes in the 10Y Yield.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implies that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the model captures only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small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portion of the variability, suggesting other factors also play important roles.</w:t>
      </w:r>
    </w:p>
    <w:p w:rsidR="003355AE" w:rsidRPr="003355AE" w:rsidRDefault="003355AE" w:rsidP="003355AE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355AE" w:rsidRPr="003355AE" w:rsidRDefault="003355AE" w:rsidP="003355AE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Technology:</w:t>
      </w:r>
    </w:p>
    <w:p w:rsidR="007E5747" w:rsidRDefault="007E5747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 wp14:anchorId="5CEE4CA3" wp14:editId="3CFEF869">
            <wp:extent cx="4202122" cy="2423227"/>
            <wp:effectExtent l="0" t="0" r="1905" b="2540"/>
            <wp:docPr id="1142704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4434" name="Picture 11427044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69" cy="24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AE" w:rsidRDefault="003355AE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355AE" w:rsidRDefault="003355AE" w:rsidP="003355AE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lastRenderedPageBreak/>
        <w:t>Regression Coefficients: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coefficient for the 10Y Yield is 0.0997, which is positive and statistically significant (p-value &lt; 0.001). A 1% rise in the 10Y Yield corresponds to an average increase of 9.97 basis points in daily returns for the Technology sector.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constant term is 0.0008, statistically significant (p-value = 0.007), suggesting a small baseline return independent of bond yields.</w:t>
      </w:r>
    </w:p>
    <w:p w:rsidR="003355AE" w:rsidRPr="003355AE" w:rsidRDefault="003355AE" w:rsidP="003355AE">
      <w:pPr>
        <w:pStyle w:val="ListParagraph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3355AE" w:rsidRDefault="003355AE" w:rsidP="003355AE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Model Fit: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R-squared: 0.046, meaning 4.6% of the variability in the Technology sector's returns is explained by bond yield changes. This lower R-squared compared to the S&amp;P 500 highlights weaker predictability for this sector from bond yield movements.</w:t>
      </w:r>
    </w:p>
    <w:p w:rsidR="003355AE" w:rsidRPr="003355AE" w:rsidRDefault="003355AE" w:rsidP="003355AE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355AE" w:rsidRPr="003355AE" w:rsidRDefault="003355AE" w:rsidP="003355AE">
      <w:pPr>
        <w:pStyle w:val="ListParagraph"/>
        <w:numPr>
          <w:ilvl w:val="0"/>
          <w:numId w:val="30"/>
        </w:num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Financials:</w:t>
      </w:r>
    </w:p>
    <w:p w:rsidR="003355AE" w:rsidRDefault="003355AE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E5747" w:rsidRDefault="007E5747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 wp14:anchorId="0D05E15C" wp14:editId="35A34BCE">
            <wp:extent cx="4160067" cy="2398975"/>
            <wp:effectExtent l="0" t="0" r="0" b="1905"/>
            <wp:docPr id="242020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0762" name="Picture 2420207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10" cy="24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AE" w:rsidRDefault="003355AE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355AE" w:rsidRDefault="003355AE" w:rsidP="003355AE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Regression Coefficients: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coefficient for the 10Y Yield is 0.1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814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, which is positive and statistically significant (p-value &lt; 0.001). This suggests that a 1% increase in the 10Y Yield is associated with a 1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8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.1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4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basis points increase in the S&amp;P 500's daily return on average.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constant term is 0.0004 (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not much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significant with a p-value of 0.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118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), implying a 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 xml:space="preserve">very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small baseline return independent of bond yields.</w:t>
      </w:r>
    </w:p>
    <w:p w:rsidR="003355AE" w:rsidRPr="003355AE" w:rsidRDefault="003355AE" w:rsidP="003355AE">
      <w:pPr>
        <w:pStyle w:val="ListParagraph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3355AE" w:rsidRDefault="003355AE" w:rsidP="0032417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Model Fit: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R-squared: 0.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173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, indicating that about 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17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.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3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% of the variation in the </w:t>
      </w:r>
      <w:r w:rsidR="0032417A">
        <w:rPr>
          <w:rFonts w:ascii="Segoe UI" w:hAnsi="Segoe UI" w:cs="Segoe UI"/>
          <w:sz w:val="21"/>
          <w:szCs w:val="21"/>
          <w:shd w:val="clear" w:color="auto" w:fill="FFFFFF"/>
        </w:rPr>
        <w:t>Financial sector’s return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is explained by changes in the 10Y Yield.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implies that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the model captures only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small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portion of the variability, suggesting other factors also play important roles.</w:t>
      </w:r>
    </w:p>
    <w:p w:rsidR="0032417A" w:rsidRPr="0032417A" w:rsidRDefault="0032417A" w:rsidP="0032417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2417A" w:rsidRPr="0032417A" w:rsidRDefault="0032417A" w:rsidP="0032417A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Healthcare:</w:t>
      </w:r>
    </w:p>
    <w:p w:rsidR="007E5747" w:rsidRDefault="007E5747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4166857" cy="2377499"/>
            <wp:effectExtent l="0" t="0" r="0" b="0"/>
            <wp:docPr id="1426198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98025" name="Picture 14261980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08" cy="23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7A" w:rsidRDefault="0032417A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2417A" w:rsidRDefault="0032417A" w:rsidP="0032417A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Regression Coefficients: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coefficient for the 10Y Yield is 0.0</w:t>
      </w:r>
      <w:r>
        <w:rPr>
          <w:rFonts w:ascii="Segoe UI" w:hAnsi="Segoe UI" w:cs="Segoe UI"/>
          <w:sz w:val="21"/>
          <w:szCs w:val="21"/>
          <w:shd w:val="clear" w:color="auto" w:fill="FFFFFF"/>
        </w:rPr>
        <w:t>773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, which is positive and statistically significant (p-value &lt; 0.001). A 1% rise in the 10Y Yield corresponds to an average increase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>7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>73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basis points in daily returns for the Technology sector.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The constant term is 0.000</w:t>
      </w:r>
      <w:r>
        <w:rPr>
          <w:rFonts w:ascii="Segoe UI" w:hAnsi="Segoe UI" w:cs="Segoe UI"/>
          <w:sz w:val="21"/>
          <w:szCs w:val="21"/>
          <w:shd w:val="clear" w:color="auto" w:fill="FFFFFF"/>
        </w:rPr>
        <w:t>4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, statistically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marginally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significant (p-value = 0.0</w:t>
      </w:r>
      <w:r>
        <w:rPr>
          <w:rFonts w:ascii="Segoe UI" w:hAnsi="Segoe UI" w:cs="Segoe UI"/>
          <w:sz w:val="21"/>
          <w:szCs w:val="21"/>
          <w:shd w:val="clear" w:color="auto" w:fill="FFFFFF"/>
        </w:rPr>
        <w:t>65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), suggesting a small baseline return independent of bond yields.</w:t>
      </w:r>
    </w:p>
    <w:p w:rsidR="0032417A" w:rsidRPr="003355AE" w:rsidRDefault="0032417A" w:rsidP="0032417A">
      <w:pPr>
        <w:pStyle w:val="ListParagraph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32417A" w:rsidRDefault="0032417A" w:rsidP="0032417A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355AE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Model Fit: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R-squared: 0.0</w:t>
      </w:r>
      <w:r>
        <w:rPr>
          <w:rFonts w:ascii="Segoe UI" w:hAnsi="Segoe UI" w:cs="Segoe UI"/>
          <w:sz w:val="21"/>
          <w:szCs w:val="21"/>
          <w:shd w:val="clear" w:color="auto" w:fill="FFFFFF"/>
        </w:rPr>
        <w:t>52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, meaning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5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% of the variability in 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Healthcare</w:t>
      </w:r>
      <w:r w:rsidRPr="003355AE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sector's returns is explained by bond yield changes. This lower R-squared compared to the S&amp;P 500 highlights weaker predictability for this sector from bond yield movements.</w:t>
      </w:r>
    </w:p>
    <w:p w:rsidR="0032417A" w:rsidRDefault="0032417A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E5747" w:rsidRDefault="007E5747" w:rsidP="007E5747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2417A" w:rsidRPr="0032417A" w:rsidRDefault="0032417A" w:rsidP="0032417A">
      <w:p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5. </w:t>
      </w: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Macro-Economic Interpretation</w:t>
      </w:r>
    </w:p>
    <w:p w:rsidR="0032417A" w:rsidRDefault="0032417A" w:rsidP="0032417A">
      <w:pPr>
        <w:pStyle w:val="ListParagraph"/>
        <w:numPr>
          <w:ilvl w:val="0"/>
          <w:numId w:val="22"/>
        </w:num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Economic Expansions: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</w:t>
      </w: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Positive correlations emerge during growth periods as bond yields rise alongside equity markets, reflecting optimism about economic prospects.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</w:t>
      </w: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Financials benefit the most, while Technology may underperform due to higher discount rates on future cash flows.</w:t>
      </w:r>
    </w:p>
    <w:p w:rsidR="0032417A" w:rsidRPr="0032417A" w:rsidRDefault="0032417A" w:rsidP="0032417A">
      <w:pPr>
        <w:pStyle w:val="ListParagraph"/>
        <w:ind w:left="108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32417A" w:rsidRDefault="0032417A" w:rsidP="0032417A">
      <w:pPr>
        <w:pStyle w:val="ListParagraph"/>
        <w:numPr>
          <w:ilvl w:val="0"/>
          <w:numId w:val="22"/>
        </w:num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Economic Downturns or Crises: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</w:t>
      </w: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Negative correlations dominate as investors shift to bonds for safety, causing yields to drop while equities decline. Defensive sectors like Healthcare show resilience during such periods.</w:t>
      </w:r>
    </w:p>
    <w:p w:rsidR="0032417A" w:rsidRPr="0032417A" w:rsidRDefault="0032417A" w:rsidP="0032417A">
      <w:p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32417A" w:rsidRDefault="0032417A" w:rsidP="0032417A">
      <w:pPr>
        <w:pStyle w:val="ListParagraph"/>
        <w:numPr>
          <w:ilvl w:val="0"/>
          <w:numId w:val="22"/>
        </w:num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Interest Rate Policies: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</w:t>
      </w:r>
      <w:r w:rsidRPr="0032417A">
        <w:rPr>
          <w:rFonts w:ascii="Segoe UI" w:eastAsiaTheme="minorHAnsi" w:hAnsi="Segoe UI" w:cs="Segoe UI"/>
          <w:sz w:val="21"/>
          <w:szCs w:val="21"/>
          <w:shd w:val="clear" w:color="auto" w:fill="FFFFFF"/>
        </w:rPr>
        <w:t>Tightening monetary policy (rate hikes) often leads to equity sell-offs, particularly in rate-sensitive sectors like Technology. Financials may benefit in the short term but face challenges if higher rates stifle loan demand.</w:t>
      </w:r>
    </w:p>
    <w:p w:rsidR="0032417A" w:rsidRPr="0032417A" w:rsidRDefault="0032417A" w:rsidP="0032417A">
      <w:p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BC094A" w:rsidRDefault="00FB4BDD" w:rsidP="00BC094A">
      <w:pPr>
        <w:pStyle w:val="ListParagraph"/>
        <w:numPr>
          <w:ilvl w:val="0"/>
          <w:numId w:val="3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BC094A">
        <w:rPr>
          <w:rFonts w:ascii="Segoe UI" w:hAnsi="Segoe UI" w:cs="Segoe UI"/>
          <w:sz w:val="21"/>
          <w:szCs w:val="21"/>
          <w:shd w:val="clear" w:color="auto" w:fill="FFFFFF"/>
        </w:rPr>
        <w:t>Conclusion:</w:t>
      </w:r>
    </w:p>
    <w:p w:rsidR="00BC094A" w:rsidRPr="00BC094A" w:rsidRDefault="00BC094A" w:rsidP="00BC094A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>he relationship between US equity and bond markets is dynamic and evolves based on macroeconomic conditions, monetary policy, and sectoral characteristics.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</w:t>
      </w: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>Sectoral breakdown highlights varying sensitivities:</w:t>
      </w:r>
    </w:p>
    <w:p w:rsidR="00BC094A" w:rsidRPr="00BC094A" w:rsidRDefault="00BC094A" w:rsidP="00BC094A">
      <w:pPr>
        <w:numPr>
          <w:ilvl w:val="0"/>
          <w:numId w:val="37"/>
        </w:numPr>
        <w:spacing w:before="100" w:beforeAutospacing="1" w:after="100" w:afterAutospacing="1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>Technology: Adversely affected by rising bond yields.</w:t>
      </w:r>
    </w:p>
    <w:p w:rsidR="00BC094A" w:rsidRPr="00BC094A" w:rsidRDefault="00BC094A" w:rsidP="00BC094A">
      <w:pPr>
        <w:numPr>
          <w:ilvl w:val="0"/>
          <w:numId w:val="37"/>
        </w:numPr>
        <w:spacing w:before="100" w:beforeAutospacing="1" w:after="100" w:afterAutospacing="1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>Financials: Positively correlated with higher yields.</w:t>
      </w:r>
    </w:p>
    <w:p w:rsidR="00BC094A" w:rsidRPr="00BC094A" w:rsidRDefault="00BC094A" w:rsidP="00BC094A">
      <w:pPr>
        <w:numPr>
          <w:ilvl w:val="0"/>
          <w:numId w:val="37"/>
        </w:numPr>
        <w:spacing w:before="100" w:beforeAutospacing="1" w:after="100" w:afterAutospacing="1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>Healthcare: Defensive with minimal sensitivity.</w:t>
      </w:r>
    </w:p>
    <w:p w:rsidR="00BC094A" w:rsidRDefault="00BC094A" w:rsidP="00C34B82">
      <w:pPr>
        <w:pStyle w:val="NormalWeb"/>
        <w:numPr>
          <w:ilvl w:val="0"/>
          <w:numId w:val="22"/>
        </w:num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lastRenderedPageBreak/>
        <w:t>Rolling correlation trends and regression coefficients align with macroeconomic reasoning, validating the importance of sectoral differentiation in portfolio strategies.</w:t>
      </w:r>
    </w:p>
    <w:p w:rsidR="00554970" w:rsidRPr="00C34B82" w:rsidRDefault="00554970" w:rsidP="00C34B82">
      <w:pPr>
        <w:pStyle w:val="NormalWeb"/>
        <w:numPr>
          <w:ilvl w:val="0"/>
          <w:numId w:val="22"/>
        </w:numPr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p w:rsidR="00BC094A" w:rsidRPr="00BC094A" w:rsidRDefault="00BC094A" w:rsidP="00BC094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>Investor should c</w:t>
      </w: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ombine rate-sensitive sectors (Financials) with defensives (Healthcare) to 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diversify and </w:t>
      </w: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>mitigate risks during volatile interest rate cycles.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And a</w:t>
      </w:r>
      <w:r w:rsidRPr="00BC094A">
        <w:rPr>
          <w:rFonts w:ascii="Segoe UI" w:eastAsiaTheme="minorHAnsi" w:hAnsi="Segoe UI" w:cs="Segoe UI"/>
          <w:sz w:val="21"/>
          <w:szCs w:val="21"/>
          <w:shd w:val="clear" w:color="auto" w:fill="FFFFFF"/>
        </w:rPr>
        <w:t>llocate more to defensive sectors during economic slowdowns and to rate-sensitive sectors during periods of economic expansion.</w:t>
      </w:r>
    </w:p>
    <w:p w:rsidR="00BC094A" w:rsidRPr="00BC094A" w:rsidRDefault="00BC094A" w:rsidP="00BC094A">
      <w:pPr>
        <w:pStyle w:val="NormalWeb"/>
        <w:ind w:left="720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</w:p>
    <w:sectPr w:rsidR="00BC094A" w:rsidRPr="00BC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BCD"/>
    <w:multiLevelType w:val="multilevel"/>
    <w:tmpl w:val="823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BC8"/>
    <w:multiLevelType w:val="multilevel"/>
    <w:tmpl w:val="A658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ED5"/>
    <w:multiLevelType w:val="multilevel"/>
    <w:tmpl w:val="513E4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80370"/>
    <w:multiLevelType w:val="hybridMultilevel"/>
    <w:tmpl w:val="FB521D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42D4890"/>
    <w:multiLevelType w:val="hybridMultilevel"/>
    <w:tmpl w:val="2974B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B1927"/>
    <w:multiLevelType w:val="multilevel"/>
    <w:tmpl w:val="4C04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F59B9"/>
    <w:multiLevelType w:val="multilevel"/>
    <w:tmpl w:val="B74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C302C"/>
    <w:multiLevelType w:val="multilevel"/>
    <w:tmpl w:val="6B2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90C43"/>
    <w:multiLevelType w:val="multilevel"/>
    <w:tmpl w:val="3F84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561D2"/>
    <w:multiLevelType w:val="multilevel"/>
    <w:tmpl w:val="26B2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A2EFB"/>
    <w:multiLevelType w:val="multilevel"/>
    <w:tmpl w:val="2FB0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97BFB"/>
    <w:multiLevelType w:val="hybridMultilevel"/>
    <w:tmpl w:val="351012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87E223F"/>
    <w:multiLevelType w:val="multilevel"/>
    <w:tmpl w:val="0D4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D7802"/>
    <w:multiLevelType w:val="multilevel"/>
    <w:tmpl w:val="742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C190B"/>
    <w:multiLevelType w:val="multilevel"/>
    <w:tmpl w:val="BCE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0D094F"/>
    <w:multiLevelType w:val="multilevel"/>
    <w:tmpl w:val="8C5E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F4579B"/>
    <w:multiLevelType w:val="hybridMultilevel"/>
    <w:tmpl w:val="22B622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3D3F68"/>
    <w:multiLevelType w:val="multilevel"/>
    <w:tmpl w:val="513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B1EF8"/>
    <w:multiLevelType w:val="hybridMultilevel"/>
    <w:tmpl w:val="8CB68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47066"/>
    <w:multiLevelType w:val="multilevel"/>
    <w:tmpl w:val="7794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EF4050"/>
    <w:multiLevelType w:val="hybridMultilevel"/>
    <w:tmpl w:val="B30A1736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44B33"/>
    <w:multiLevelType w:val="multilevel"/>
    <w:tmpl w:val="5F90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839DF"/>
    <w:multiLevelType w:val="multilevel"/>
    <w:tmpl w:val="B8E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23703"/>
    <w:multiLevelType w:val="hybridMultilevel"/>
    <w:tmpl w:val="4D74A9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12C4E4F"/>
    <w:multiLevelType w:val="multilevel"/>
    <w:tmpl w:val="F7F0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C5E88"/>
    <w:multiLevelType w:val="hybridMultilevel"/>
    <w:tmpl w:val="B15EEFF0"/>
    <w:lvl w:ilvl="0" w:tplc="26701FB4">
      <w:start w:val="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5A394D"/>
    <w:multiLevelType w:val="multilevel"/>
    <w:tmpl w:val="04D8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BD6FF1"/>
    <w:multiLevelType w:val="multilevel"/>
    <w:tmpl w:val="979A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B3B03"/>
    <w:multiLevelType w:val="multilevel"/>
    <w:tmpl w:val="514C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646E4"/>
    <w:multiLevelType w:val="hybridMultilevel"/>
    <w:tmpl w:val="CA8C0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0C700FD"/>
    <w:multiLevelType w:val="hybridMultilevel"/>
    <w:tmpl w:val="286C33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2C01C93"/>
    <w:multiLevelType w:val="multilevel"/>
    <w:tmpl w:val="B0202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64A54D88"/>
    <w:multiLevelType w:val="multilevel"/>
    <w:tmpl w:val="4A946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27E34"/>
    <w:multiLevelType w:val="multilevel"/>
    <w:tmpl w:val="CC8E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72564A"/>
    <w:multiLevelType w:val="hybridMultilevel"/>
    <w:tmpl w:val="350EE94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816391F"/>
    <w:multiLevelType w:val="hybridMultilevel"/>
    <w:tmpl w:val="7C4C0A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4D11D7"/>
    <w:multiLevelType w:val="multilevel"/>
    <w:tmpl w:val="44E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541386"/>
    <w:multiLevelType w:val="multilevel"/>
    <w:tmpl w:val="626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541055">
    <w:abstractNumId w:val="14"/>
  </w:num>
  <w:num w:numId="2" w16cid:durableId="259262721">
    <w:abstractNumId w:val="15"/>
  </w:num>
  <w:num w:numId="3" w16cid:durableId="1647320353">
    <w:abstractNumId w:val="5"/>
  </w:num>
  <w:num w:numId="4" w16cid:durableId="637686850">
    <w:abstractNumId w:val="21"/>
  </w:num>
  <w:num w:numId="5" w16cid:durableId="1987779073">
    <w:abstractNumId w:val="10"/>
  </w:num>
  <w:num w:numId="6" w16cid:durableId="779759053">
    <w:abstractNumId w:val="18"/>
  </w:num>
  <w:num w:numId="7" w16cid:durableId="517232820">
    <w:abstractNumId w:val="4"/>
  </w:num>
  <w:num w:numId="8" w16cid:durableId="234702753">
    <w:abstractNumId w:val="11"/>
  </w:num>
  <w:num w:numId="9" w16cid:durableId="1109743453">
    <w:abstractNumId w:val="29"/>
  </w:num>
  <w:num w:numId="10" w16cid:durableId="981498431">
    <w:abstractNumId w:val="3"/>
  </w:num>
  <w:num w:numId="11" w16cid:durableId="1950962288">
    <w:abstractNumId w:val="23"/>
  </w:num>
  <w:num w:numId="12" w16cid:durableId="959654593">
    <w:abstractNumId w:val="30"/>
  </w:num>
  <w:num w:numId="13" w16cid:durableId="84694529">
    <w:abstractNumId w:val="37"/>
  </w:num>
  <w:num w:numId="14" w16cid:durableId="1411847938">
    <w:abstractNumId w:val="17"/>
  </w:num>
  <w:num w:numId="15" w16cid:durableId="500703335">
    <w:abstractNumId w:val="32"/>
  </w:num>
  <w:num w:numId="16" w16cid:durableId="976103361">
    <w:abstractNumId w:val="31"/>
  </w:num>
  <w:num w:numId="17" w16cid:durableId="1858618627">
    <w:abstractNumId w:val="16"/>
  </w:num>
  <w:num w:numId="18" w16cid:durableId="1430003217">
    <w:abstractNumId w:val="28"/>
  </w:num>
  <w:num w:numId="19" w16cid:durableId="69499272">
    <w:abstractNumId w:val="8"/>
  </w:num>
  <w:num w:numId="20" w16cid:durableId="389504632">
    <w:abstractNumId w:val="27"/>
  </w:num>
  <w:num w:numId="21" w16cid:durableId="1656376944">
    <w:abstractNumId w:val="1"/>
  </w:num>
  <w:num w:numId="22" w16cid:durableId="1285816503">
    <w:abstractNumId w:val="25"/>
  </w:num>
  <w:num w:numId="23" w16cid:durableId="664238833">
    <w:abstractNumId w:val="36"/>
  </w:num>
  <w:num w:numId="24" w16cid:durableId="2065787372">
    <w:abstractNumId w:val="9"/>
  </w:num>
  <w:num w:numId="25" w16cid:durableId="670331567">
    <w:abstractNumId w:val="22"/>
  </w:num>
  <w:num w:numId="26" w16cid:durableId="403139271">
    <w:abstractNumId w:val="33"/>
  </w:num>
  <w:num w:numId="27" w16cid:durableId="1975329040">
    <w:abstractNumId w:val="12"/>
  </w:num>
  <w:num w:numId="28" w16cid:durableId="2092047378">
    <w:abstractNumId w:val="6"/>
  </w:num>
  <w:num w:numId="29" w16cid:durableId="1249073337">
    <w:abstractNumId w:val="35"/>
  </w:num>
  <w:num w:numId="30" w16cid:durableId="1835484952">
    <w:abstractNumId w:val="34"/>
  </w:num>
  <w:num w:numId="31" w16cid:durableId="1068457945">
    <w:abstractNumId w:val="7"/>
  </w:num>
  <w:num w:numId="32" w16cid:durableId="1239024617">
    <w:abstractNumId w:val="24"/>
  </w:num>
  <w:num w:numId="33" w16cid:durableId="1947272194">
    <w:abstractNumId w:val="13"/>
  </w:num>
  <w:num w:numId="34" w16cid:durableId="261644327">
    <w:abstractNumId w:val="0"/>
  </w:num>
  <w:num w:numId="35" w16cid:durableId="651644447">
    <w:abstractNumId w:val="19"/>
  </w:num>
  <w:num w:numId="36" w16cid:durableId="1868718328">
    <w:abstractNumId w:val="20"/>
  </w:num>
  <w:num w:numId="37" w16cid:durableId="1812668237">
    <w:abstractNumId w:val="2"/>
  </w:num>
  <w:num w:numId="38" w16cid:durableId="15998257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03"/>
    <w:rsid w:val="00031D8D"/>
    <w:rsid w:val="00124D35"/>
    <w:rsid w:val="002912B0"/>
    <w:rsid w:val="0032417A"/>
    <w:rsid w:val="003355AE"/>
    <w:rsid w:val="00412BB6"/>
    <w:rsid w:val="00412D50"/>
    <w:rsid w:val="00554970"/>
    <w:rsid w:val="00673967"/>
    <w:rsid w:val="0074763F"/>
    <w:rsid w:val="007758E8"/>
    <w:rsid w:val="007E5747"/>
    <w:rsid w:val="008B40DD"/>
    <w:rsid w:val="008E3279"/>
    <w:rsid w:val="00A14BB4"/>
    <w:rsid w:val="00B21C01"/>
    <w:rsid w:val="00BC094A"/>
    <w:rsid w:val="00C34B82"/>
    <w:rsid w:val="00C40A5C"/>
    <w:rsid w:val="00C41AC5"/>
    <w:rsid w:val="00C45CB0"/>
    <w:rsid w:val="00D81317"/>
    <w:rsid w:val="00DA4B03"/>
    <w:rsid w:val="00FB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ED8F"/>
  <w15:chartTrackingRefBased/>
  <w15:docId w15:val="{201822BA-56A4-3F4F-8904-4989F437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7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E327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327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3279"/>
    <w:rPr>
      <w:b/>
      <w:bCs/>
    </w:rPr>
  </w:style>
  <w:style w:type="paragraph" w:styleId="NormalWeb">
    <w:name w:val="Normal (Web)"/>
    <w:basedOn w:val="Normal"/>
    <w:uiPriority w:val="99"/>
    <w:unhideWhenUsed/>
    <w:rsid w:val="008E327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E3279"/>
  </w:style>
  <w:style w:type="character" w:styleId="HTMLCode">
    <w:name w:val="HTML Code"/>
    <w:basedOn w:val="DefaultParagraphFont"/>
    <w:uiPriority w:val="99"/>
    <w:semiHidden/>
    <w:unhideWhenUsed/>
    <w:rsid w:val="008E32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4BDD"/>
    <w:pPr>
      <w:ind w:left="720"/>
      <w:contextualSpacing/>
    </w:pPr>
  </w:style>
  <w:style w:type="character" w:customStyle="1" w:styleId="katex-mathml">
    <w:name w:val="katex-mathml"/>
    <w:basedOn w:val="DefaultParagraphFont"/>
    <w:rsid w:val="00124D35"/>
  </w:style>
  <w:style w:type="character" w:customStyle="1" w:styleId="mord">
    <w:name w:val="mord"/>
    <w:basedOn w:val="DefaultParagraphFont"/>
    <w:rsid w:val="00124D35"/>
  </w:style>
  <w:style w:type="character" w:customStyle="1" w:styleId="mpunct">
    <w:name w:val="mpunct"/>
    <w:basedOn w:val="DefaultParagraphFont"/>
    <w:rsid w:val="00124D35"/>
  </w:style>
  <w:style w:type="character" w:customStyle="1" w:styleId="vlist-s">
    <w:name w:val="vlist-s"/>
    <w:basedOn w:val="DefaultParagraphFont"/>
    <w:rsid w:val="00124D35"/>
  </w:style>
  <w:style w:type="character" w:customStyle="1" w:styleId="mbin">
    <w:name w:val="mbin"/>
    <w:basedOn w:val="DefaultParagraphFont"/>
    <w:rsid w:val="00124D35"/>
  </w:style>
  <w:style w:type="character" w:customStyle="1" w:styleId="Heading3Char">
    <w:name w:val="Heading 3 Char"/>
    <w:basedOn w:val="DefaultParagraphFont"/>
    <w:link w:val="Heading3"/>
    <w:uiPriority w:val="9"/>
    <w:semiHidden/>
    <w:rsid w:val="00D813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rel">
    <w:name w:val="mrel"/>
    <w:basedOn w:val="DefaultParagraphFont"/>
    <w:rsid w:val="00D8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Vasid</dc:creator>
  <cp:keywords/>
  <dc:description/>
  <cp:lastModifiedBy>Ishrat Vasid</cp:lastModifiedBy>
  <cp:revision>8</cp:revision>
  <dcterms:created xsi:type="dcterms:W3CDTF">2024-11-25T12:38:00Z</dcterms:created>
  <dcterms:modified xsi:type="dcterms:W3CDTF">2024-11-25T13:43:00Z</dcterms:modified>
</cp:coreProperties>
</file>