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rFonts w:ascii="Calibri" w:hAnsi="Calibri"/>
          <w:b/>
          <w:color w:val="0F172A"/>
          <w:sz w:val="38"/>
        </w:rPr>
        <w:t>TrueDeed: Algorithmic Land Fraud &amp; Double-Selling Prevention Platform</w:t>
      </w:r>
    </w:p>
    <w:p>
      <w:pPr>
        <w:spacing w:before="0" w:after="200"/>
      </w:pPr>
      <w:r>
        <w:rPr>
          <w:b/>
          <w:color w:val="0F172A"/>
          <w:sz w:val="23"/>
        </w:rPr>
        <w:t>Official Concept Note &amp; Technical Proposal — DIU LandTech Innovation Hackathon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  <w:shd w:val="clear" w:color="auto" w:fill="F1F5F9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b/>
                <w:color w:val="475569"/>
                <w:sz w:val="18"/>
              </w:rPr>
              <w:t xml:space="preserve">Team Code: </w:t>
            </w:r>
            <w:r>
              <w:rPr>
                <w:b/>
                <w:color w:val="0F172A"/>
                <w:sz w:val="18"/>
              </w:rPr>
              <w:t>LA-72 (Team TrueDeed)</w:t>
            </w:r>
          </w:p>
        </w:tc>
        <w:tc>
          <w:tcPr>
            <w:tcW w:type="dxa" w:w="3202"/>
            <w:shd w:val="clear" w:color="auto" w:fill="F1F5F9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b/>
                <w:color w:val="475569"/>
                <w:sz w:val="18"/>
              </w:rPr>
              <w:t xml:space="preserve">Track: </w:t>
            </w:r>
            <w:r>
              <w:rPr>
                <w:b/>
                <w:color w:val="0F172A"/>
                <w:sz w:val="18"/>
              </w:rPr>
              <w:t>Digital Land Records, Verification &amp; Digitization</w:t>
            </w:r>
          </w:p>
        </w:tc>
        <w:tc>
          <w:tcPr>
            <w:tcW w:type="dxa" w:w="3202"/>
            <w:shd w:val="clear" w:color="auto" w:fill="F1F5F9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b/>
                <w:color w:val="475569"/>
                <w:sz w:val="18"/>
              </w:rPr>
              <w:t xml:space="preserve">Selected Problem: </w:t>
            </w:r>
            <w:r>
              <w:rPr>
                <w:b/>
                <w:color w:val="0F172A"/>
                <w:sz w:val="18"/>
              </w:rPr>
              <w:t>P3: Catch Fraud &amp; Double-Selling</w:t>
            </w:r>
          </w:p>
        </w:tc>
      </w:tr>
      <w:tr>
        <w:tc>
          <w:tcPr>
            <w:tcW w:type="dxa" w:w="3202"/>
            <w:shd w:val="clear" w:color="auto" w:fill="F1F5F9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b/>
                <w:color w:val="475569"/>
                <w:sz w:val="18"/>
              </w:rPr>
              <w:t xml:space="preserve">Team Leader: </w:t>
            </w:r>
            <w:r>
              <w:rPr>
                <w:b/>
                <w:color w:val="0F172A"/>
                <w:sz w:val="18"/>
              </w:rPr>
              <w:t>ISHTIAK AHMED (0242310005101006)</w:t>
            </w:r>
          </w:p>
        </w:tc>
        <w:tc>
          <w:tcPr>
            <w:tcW w:type="dxa" w:w="3202"/>
            <w:shd w:val="clear" w:color="auto" w:fill="F1F5F9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b/>
                <w:color w:val="475569"/>
                <w:sz w:val="18"/>
              </w:rPr>
              <w:t xml:space="preserve">Institution: </w:t>
            </w:r>
            <w:r>
              <w:rPr>
                <w:b/>
                <w:color w:val="0F172A"/>
                <w:sz w:val="18"/>
              </w:rPr>
              <w:t>Daffodil International University (DIU)</w:t>
            </w:r>
          </w:p>
        </w:tc>
        <w:tc>
          <w:tcPr>
            <w:tcW w:type="dxa" w:w="3202"/>
            <w:shd w:val="clear" w:color="auto" w:fill="F1F5F9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b/>
                <w:color w:val="475569"/>
                <w:sz w:val="18"/>
              </w:rPr>
              <w:t xml:space="preserve">GitHub Repository: </w:t>
            </w:r>
            <w:r>
              <w:rPr>
                <w:b/>
                <w:color w:val="0F172A"/>
                <w:sz w:val="18"/>
              </w:rPr>
              <w:t>github.com/Ishtiak-Ahmed886/TrueDeed</w:t>
            </w:r>
          </w:p>
        </w:tc>
      </w:tr>
    </w:tbl>
    <w:p>
      <w:pPr>
        <w:spacing w:after="80"/>
      </w:pPr>
    </w:p>
    <w:p>
      <w:pPr>
        <w:keepNext/>
        <w:spacing w:before="260" w:after="60"/>
      </w:pPr>
      <w:r>
        <w:rPr>
          <w:rFonts w:ascii="Calibri" w:hAnsi="Calibri"/>
          <w:b/>
          <w:color w:val="0F172A"/>
          <w:sz w:val="27"/>
        </w:rPr>
        <w:t>1. Problem Chosen: P3 — Catch Fraud &amp; Double-Selling</w:t>
      </w:r>
    </w:p>
    <w:p>
      <w:pPr>
        <w:spacing w:before="0" w:after="80" w:line="276" w:lineRule="auto"/>
      </w:pPr>
      <w:r>
        <w:rPr>
          <w:color w:val="0F172A"/>
        </w:rPr>
        <w:t>Under Section 5 of the LandTech 2026 Rule Book, Team TrueDeed selects Problem P3: Catch Fraud &amp; Double-Selling. Land disputes represent the single largest burden on the judicial and civil administrative systems in Bangladesh. While government digital portals such as e-Porcha and e-Namjari provide access to digitized historical records, they operate as passive data repositories rather than active fraud-prevention systems. Crucially, there is no real-time, automated verification gate at the Sub-Registrar desk when transfer deeds are executed.</w:t>
      </w:r>
    </w:p>
    <w:p>
      <w:pPr>
        <w:spacing w:before="0" w:after="80" w:line="276" w:lineRule="auto"/>
      </w:pPr>
      <w:r>
        <w:rPr>
          <w:color w:val="0F172A"/>
        </w:rPr>
        <w:t>This institutional disconnect between deed registration (Ministry of Law) and land record maintenance / mutation (Ministry of Land) creates a critical concurrency window. Fraudsters exploit this gap to execute over-selling of inherited shares, fabricate intermediate Baya deeds, and execute double-selling before land records are updated.</w:t>
      </w:r>
    </w:p>
    <w:p>
      <w:pPr>
        <w:keepNext/>
        <w:spacing w:before="260" w:after="60"/>
      </w:pPr>
      <w:r>
        <w:rPr>
          <w:rFonts w:ascii="Calibri" w:hAnsi="Calibri"/>
          <w:b/>
          <w:color w:val="0F172A"/>
          <w:sz w:val="27"/>
        </w:rPr>
        <w:t>2. Why It Matters in Bangladesh (National Urgency &amp; Evidence)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Overwhelming Judicial Burden: </w:t>
      </w:r>
      <w:r>
        <w:rPr>
          <w:color w:val="0F172A"/>
        </w:rPr>
        <w:t>According to Law Commission of Bangladesh reports and judicial statistics from the Supreme Court, property and boundary disputes account for approximately 70% of the nation's ~3.5 million pending civil litigations, congesting sub-district and district courts for decades.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Credit Risk &amp; Banking Inefficiencies: </w:t>
      </w:r>
      <w:r>
        <w:rPr>
          <w:color w:val="0F172A"/>
        </w:rPr>
        <w:t>Commercial banks and Non-Bank Financial Institutions (NBFIs) typically spend 14 to 21 days manually vetting property titles before issuing mortgages (in accordance with Bangladesh Bank prudential guidelines), yet frequently suffer Non-Performing Loans (NPLs) caused by forged Baya deeds.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Disenfranchisement of Vulnerable Heirs: </w:t>
      </w:r>
      <w:r>
        <w:rPr>
          <w:color w:val="0F172A"/>
        </w:rPr>
        <w:t>Widows, daughters, and minor heirs are systematically disenfranchised when dominant family members execute deeds exceeding their legal Farayez quota under Islamic inheritance law, bypassing female relatives without statutory succession oversight.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Diaspora &amp; Expatriate Land Security: </w:t>
      </w:r>
      <w:r>
        <w:rPr>
          <w:color w:val="0F172A"/>
        </w:rPr>
        <w:t>Over 10 million Non-Resident Bangladeshis (BMET records) contributing vital foreign remittances face persistent risks of ancestral plot grabbing due to the lack of an authenticated, remote title-health monitoring portal.</w:t>
      </w:r>
    </w:p>
    <w:p>
      <w:pPr>
        <w:keepNext/>
        <w:spacing w:before="260" w:after="60"/>
      </w:pPr>
      <w:r>
        <w:rPr>
          <w:rFonts w:ascii="Calibri" w:hAnsi="Calibri"/>
          <w:b/>
          <w:color w:val="0F172A"/>
          <w:sz w:val="27"/>
        </w:rPr>
        <w:t>3. Proposed Solution: The TrueDeed Infrastructure</w:t>
      </w:r>
    </w:p>
    <w:p>
      <w:pPr>
        <w:spacing w:before="0" w:after="80" w:line="276" w:lineRule="auto"/>
      </w:pPr>
      <w:r>
        <w:rPr>
          <w:color w:val="0F172A"/>
        </w:rPr>
        <w:t>TrueDeed is an automated, sub-second Pre-Registration Title Verification &amp; Fraud Prevention Engine. Positioned directly at Sub-Registry desks, bank credit vetting portals, and citizen self-service channels, TrueDeed validates transactions across three core pillars: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1. Statutory Inheritance Math Engine: </w:t>
      </w:r>
      <w:r>
        <w:rPr>
          <w:color w:val="0F172A"/>
        </w:rPr>
        <w:t>An automated statutory Farayez calculation core that mathematically restricts sales to lawful inherited quotas under Islamic jurisprudence and Section 4 of the Muslim Family Laws Ordinance 1961.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2. Baya Deed Lineage Graph Tracer: </w:t>
      </w:r>
      <w:r>
        <w:rPr>
          <w:color w:val="0F172A"/>
        </w:rPr>
        <w:t>A Directed Acyclic Graph (DAG) algorithm tracing ownership lineage back to state surveys (CS/SA/RS) to ensure zero broken links.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3. Active Plot Concurrency Lock: </w:t>
      </w:r>
      <w:r>
        <w:rPr>
          <w:color w:val="0F172A"/>
        </w:rPr>
        <w:t>A 45-day temporary lock placed on target plot records during registration to block simultaneous duplicate filings across offices.</w:t>
      </w:r>
    </w:p>
    <w:p>
      <w:pPr>
        <w:keepNext/>
        <w:spacing w:before="260" w:after="60"/>
      </w:pPr>
      <w:r>
        <w:rPr>
          <w:rFonts w:ascii="Calibri" w:hAnsi="Calibri"/>
          <w:b/>
          <w:color w:val="0F172A"/>
          <w:sz w:val="27"/>
        </w:rPr>
        <w:t>4. Technical Architecture &amp; Latency Profile</w:t>
      </w:r>
    </w:p>
    <w:p>
      <w:pPr>
        <w:spacing w:before="0" w:after="80" w:line="276" w:lineRule="auto"/>
      </w:pPr>
      <w:r>
        <w:rPr>
          <w:color w:val="0F172A"/>
        </w:rPr>
        <w:t>TrueDeed operates as an asynchronous 4-tier pipeline designed for high resilience and sub-second verification response: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Tier 1 — Client Interface: </w:t>
      </w:r>
      <w:r>
        <w:rPr>
          <w:color w:val="0F172A"/>
        </w:rPr>
        <w:t>Responsive React 19 web dropzone and Sub-Registrar desk portal for deed scans, PDF uploads, and heir declarations.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Tier 2 — Gateway &amp; Router: </w:t>
      </w:r>
      <w:r>
        <w:rPr>
          <w:color w:val="0F172A"/>
        </w:rPr>
        <w:t>FastAPI asynchronous REST gateway handling request authentication, throttling, and task orchestration.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Tier 3 — Core Algorithmic Business Engines: </w:t>
      </w:r>
      <w:r>
        <w:rPr>
          <w:color w:val="0F172A"/>
        </w:rPr>
        <w:t>Multi-stage verification: Multimodal document OCR operates asynchronously (3–5 seconds), followed by sub-second (&lt;500ms) Farayez quota computation and DAG graph traversal.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Tier 4 — Ledger &amp; State Management: </w:t>
      </w:r>
      <w:r>
        <w:rPr>
          <w:color w:val="0F172A"/>
        </w:rPr>
        <w:t>PostgreSQL 16 relational database with Redis caching, storing digitized Khatians, historical lineage DAGs, active plot locks, and tamper-evident audit trails.</w:t>
      </w:r>
    </w:p>
    <w:p>
      <w:pPr>
        <w:keepNext/>
        <w:spacing w:before="260" w:after="60"/>
      </w:pPr>
      <w:r>
        <w:rPr>
          <w:rFonts w:ascii="Calibri" w:hAnsi="Calibri"/>
          <w:b/>
          <w:color w:val="0F172A"/>
          <w:sz w:val="27"/>
        </w:rPr>
        <w:t>5. Core Technology Stack &amp; Feasibility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  <w:shd w:val="clear" w:color="auto" w:fill="1E293B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b/>
                <w:color w:val="FFFFFF"/>
                <w:sz w:val="19"/>
              </w:rPr>
              <w:t>Subsystem Component</w:t>
            </w:r>
          </w:p>
        </w:tc>
        <w:tc>
          <w:tcPr>
            <w:tcW w:type="dxa" w:w="3202"/>
            <w:shd w:val="clear" w:color="auto" w:fill="1E293B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b/>
                <w:color w:val="FFFFFF"/>
                <w:sz w:val="19"/>
              </w:rPr>
              <w:t>Technologies Used</w:t>
            </w:r>
          </w:p>
        </w:tc>
        <w:tc>
          <w:tcPr>
            <w:tcW w:type="dxa" w:w="3202"/>
            <w:shd w:val="clear" w:color="auto" w:fill="1E293B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b/>
                <w:color w:val="FFFFFF"/>
                <w:sz w:val="19"/>
              </w:rPr>
              <w:t>Architectural Function</w:t>
            </w:r>
          </w:p>
        </w:tc>
      </w:tr>
      <w:tr>
        <w:tc>
          <w:tcPr>
            <w:tcW w:type="dxa" w:w="3202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Frontend Application</w:t>
            </w:r>
          </w:p>
        </w:tc>
        <w:tc>
          <w:tcPr>
            <w:tcW w:type="dxa" w:w="3202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React 19, Tailwind CSS, TypeScript</w:t>
            </w:r>
          </w:p>
        </w:tc>
        <w:tc>
          <w:tcPr>
            <w:tcW w:type="dxa" w:w="3202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Responsive interface for Sub-Registrars, banks, and citizen portal</w:t>
            </w:r>
          </w:p>
        </w:tc>
      </w:tr>
      <w:tr>
        <w:tc>
          <w:tcPr>
            <w:tcW w:type="dxa" w:w="3202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Backend Gateway</w:t>
            </w:r>
          </w:p>
        </w:tc>
        <w:tc>
          <w:tcPr>
            <w:tcW w:type="dxa" w:w="3202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FastAPI / Python 3.12, Uvicorn, Celery</w:t>
            </w:r>
          </w:p>
        </w:tc>
        <w:tc>
          <w:tcPr>
            <w:tcW w:type="dxa" w:w="3202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Asynchronous task queue with sub-second decision routing</w:t>
            </w:r>
          </w:p>
        </w:tc>
      </w:tr>
      <w:tr>
        <w:tc>
          <w:tcPr>
            <w:tcW w:type="dxa" w:w="3202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Computer Vision &amp; OCR</w:t>
            </w:r>
          </w:p>
        </w:tc>
        <w:tc>
          <w:tcPr>
            <w:tcW w:type="dxa" w:w="3202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Gemini Flash VLM / OpenCV Pipeline</w:t>
            </w:r>
          </w:p>
        </w:tc>
        <w:tc>
          <w:tcPr>
            <w:tcW w:type="dxa" w:w="3202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Bilingual entity extraction from handwritten Bangla deed scans (3–5s async)</w:t>
            </w:r>
          </w:p>
        </w:tc>
      </w:tr>
      <w:tr>
        <w:tc>
          <w:tcPr>
            <w:tcW w:type="dxa" w:w="3202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Lineage Graph Engine</w:t>
            </w:r>
          </w:p>
        </w:tc>
        <w:tc>
          <w:tcPr>
            <w:tcW w:type="dxa" w:w="3202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NetworkX, Directed Acyclic Graph (DAG)</w:t>
            </w:r>
          </w:p>
        </w:tc>
        <w:tc>
          <w:tcPr>
            <w:tcW w:type="dxa" w:w="3202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Topological sorting, cycle detection, and chain validation (&lt;200ms)</w:t>
            </w:r>
          </w:p>
        </w:tc>
      </w:tr>
      <w:tr>
        <w:tc>
          <w:tcPr>
            <w:tcW w:type="dxa" w:w="3202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Database &amp; Audit Ledger</w:t>
            </w:r>
          </w:p>
        </w:tc>
        <w:tc>
          <w:tcPr>
            <w:tcW w:type="dxa" w:w="3202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PostgreSQL 16, Redis, SHA-256 Hashes</w:t>
            </w:r>
          </w:p>
        </w:tc>
        <w:tc>
          <w:tcPr>
            <w:tcW w:type="dxa" w:w="3202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ACID-compliant storage of plot locks and tamper-evident audit logs</w:t>
            </w:r>
          </w:p>
        </w:tc>
      </w:tr>
    </w:tbl>
    <w:p>
      <w:pPr>
        <w:spacing w:after="80"/>
      </w:pPr>
    </w:p>
    <w:p>
      <w:pPr>
        <w:keepNext/>
        <w:spacing w:before="260" w:after="60"/>
      </w:pPr>
      <w:r>
        <w:rPr>
          <w:rFonts w:ascii="Calibri" w:hAnsi="Calibri"/>
          <w:b/>
          <w:color w:val="0F172A"/>
          <w:sz w:val="27"/>
        </w:rPr>
        <w:t>6. Core Functional Modules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1. Farayez Statutory Quota Interception: </w:t>
      </w:r>
      <w:r>
        <w:rPr>
          <w:color w:val="0F172A"/>
        </w:rPr>
        <w:t xml:space="preserve"> Automatically computes lawful individual shares from baseline khatian acreage. Instantly intercepts claims exceeding statutory entitlement.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2. Baya Deed Lineage Graph Tracer: </w:t>
      </w:r>
      <w:r>
        <w:rPr>
          <w:color w:val="0F172A"/>
        </w:rPr>
        <w:t xml:space="preserve"> Reconstructs chronologically ordered buyer-seller ownership nodes. Highlights missing intermediate mutations or suspicious sub-registry volume entries.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3. Concurrency Plot Lock Manager: </w:t>
      </w:r>
      <w:r>
        <w:rPr>
          <w:color w:val="0F172A"/>
        </w:rPr>
        <w:t xml:space="preserve"> Enforces an active 45-day transactional lock on target Daag records upon deed lodging, preventing simultaneous double-selling filings across offices.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4. Bangla Legal OCR &amp; Entity Extractor: </w:t>
      </w:r>
      <w:r>
        <w:rPr>
          <w:color w:val="0F172A"/>
        </w:rPr>
        <w:t xml:space="preserve"> Automatically parses Mouza, Khatian, Daag, Chouhaddi (boundaries), and transferred acreage into normalized JSON schemas.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5. Composite TrueDeed Trust Score: </w:t>
      </w:r>
      <w:r>
        <w:rPr>
          <w:color w:val="0F172A"/>
        </w:rPr>
        <w:t xml:space="preserve"> Generates an intuitive composite security score (0–100%) backed by transparent, deterministic verification rules.</w:t>
      </w:r>
    </w:p>
    <w:p>
      <w:pPr>
        <w:keepNext/>
        <w:spacing w:before="260" w:after="60"/>
      </w:pPr>
      <w:r>
        <w:rPr>
          <w:rFonts w:ascii="Calibri" w:hAnsi="Calibri"/>
          <w:b/>
          <w:color w:val="0F172A"/>
          <w:sz w:val="27"/>
        </w:rPr>
        <w:t>7. TrueDeed Composite Trust Score Matrix (0–100%) &amp; Hard Veto Rules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  <w:shd w:val="clear" w:color="auto" w:fill="1E293B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b/>
                <w:color w:val="FFFFFF"/>
                <w:sz w:val="19"/>
              </w:rPr>
              <w:t>Evaluation Metric</w:t>
            </w:r>
          </w:p>
        </w:tc>
        <w:tc>
          <w:tcPr>
            <w:tcW w:type="dxa" w:w="3202"/>
            <w:shd w:val="clear" w:color="auto" w:fill="1E293B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b/>
                <w:color w:val="FFFFFF"/>
                <w:sz w:val="19"/>
              </w:rPr>
              <w:t>Weightage</w:t>
            </w:r>
          </w:p>
        </w:tc>
        <w:tc>
          <w:tcPr>
            <w:tcW w:type="dxa" w:w="3202"/>
            <w:shd w:val="clear" w:color="auto" w:fill="1E293B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b/>
                <w:color w:val="FFFFFF"/>
                <w:sz w:val="19"/>
              </w:rPr>
              <w:t>Algorithmic Verification Standard</w:t>
            </w:r>
          </w:p>
        </w:tc>
      </w:tr>
      <w:tr>
        <w:tc>
          <w:tcPr>
            <w:tcW w:type="dxa" w:w="3202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Baya Chain Continuity</w:t>
            </w:r>
          </w:p>
        </w:tc>
        <w:tc>
          <w:tcPr>
            <w:tcW w:type="dxa" w:w="3202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35 Points</w:t>
            </w:r>
          </w:p>
        </w:tc>
        <w:tc>
          <w:tcPr>
            <w:tcW w:type="dxa" w:w="3202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Continuous, unbroken DAG lineage tracing from state survey (CS/SA/RS) to current seller</w:t>
            </w:r>
          </w:p>
        </w:tc>
      </w:tr>
      <w:tr>
        <w:tc>
          <w:tcPr>
            <w:tcW w:type="dxa" w:w="3202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Farayez Quota Compliance</w:t>
            </w:r>
          </w:p>
        </w:tc>
        <w:tc>
          <w:tcPr>
            <w:tcW w:type="dxa" w:w="3202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25 Points</w:t>
            </w:r>
          </w:p>
        </w:tc>
        <w:tc>
          <w:tcPr>
            <w:tcW w:type="dxa" w:w="3202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Transferred acreage is strictly less than or equal to statutory inheritance entitlement</w:t>
            </w:r>
          </w:p>
        </w:tc>
      </w:tr>
      <w:tr>
        <w:tc>
          <w:tcPr>
            <w:tcW w:type="dxa" w:w="3202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Active Plot Lock Status</w:t>
            </w:r>
          </w:p>
        </w:tc>
        <w:tc>
          <w:tcPr>
            <w:tcW w:type="dxa" w:w="3202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25 Points</w:t>
            </w:r>
          </w:p>
        </w:tc>
        <w:tc>
          <w:tcPr>
            <w:tcW w:type="dxa" w:w="3202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Zero concurrent transfer filings or active locks detected on target Daag within 45 days</w:t>
            </w:r>
          </w:p>
        </w:tc>
      </w:tr>
      <w:tr>
        <w:tc>
          <w:tcPr>
            <w:tcW w:type="dxa" w:w="3202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NID &amp; Registry Consistency</w:t>
            </w:r>
          </w:p>
        </w:tc>
        <w:tc>
          <w:tcPr>
            <w:tcW w:type="dxa" w:w="3202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15 Points</w:t>
            </w:r>
          </w:p>
        </w:tc>
        <w:tc>
          <w:tcPr>
            <w:tcW w:type="dxa" w:w="3202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Cross-verified consistency across Seller NID, Porcha records, and biometric registry logs</w:t>
            </w:r>
          </w:p>
        </w:tc>
      </w:tr>
      <w:tr>
        <w:tc>
          <w:tcPr>
            <w:tcW w:type="dxa" w:w="3202"/>
            <w:shd w:val="clear" w:color="auto" w:fill="FEF2F2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b/>
                <w:color w:val="B91C1C"/>
                <w:sz w:val="18"/>
              </w:rPr>
              <w:t>HARD VETO: Chain Broken</w:t>
            </w:r>
          </w:p>
        </w:tc>
        <w:tc>
          <w:tcPr>
            <w:tcW w:type="dxa" w:w="3202"/>
            <w:shd w:val="clear" w:color="auto" w:fill="FEF2F2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b/>
                <w:color w:val="B91C1C"/>
                <w:sz w:val="18"/>
              </w:rPr>
              <w:t>SCORE -&gt; &lt;30%</w:t>
            </w:r>
          </w:p>
        </w:tc>
        <w:tc>
          <w:tcPr>
            <w:tcW w:type="dxa" w:w="3202"/>
            <w:shd w:val="clear" w:color="auto" w:fill="FEF2F2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b/>
                <w:color w:val="B91C1C"/>
                <w:sz w:val="18"/>
              </w:rPr>
              <w:t>Missing or unverified intermediate Baya deed drops total score to &lt;30% (Fatal Block)</w:t>
            </w:r>
          </w:p>
        </w:tc>
      </w:tr>
      <w:tr>
        <w:tc>
          <w:tcPr>
            <w:tcW w:type="dxa" w:w="3202"/>
            <w:shd w:val="clear" w:color="auto" w:fill="FEF2F2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b/>
                <w:color w:val="B91C1C"/>
                <w:sz w:val="18"/>
              </w:rPr>
              <w:t>HARD VETO: Civil Court Injunction</w:t>
            </w:r>
          </w:p>
        </w:tc>
        <w:tc>
          <w:tcPr>
            <w:tcW w:type="dxa" w:w="3202"/>
            <w:shd w:val="clear" w:color="auto" w:fill="FEF2F2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b/>
                <w:color w:val="B91C1C"/>
                <w:sz w:val="18"/>
              </w:rPr>
              <w:t>SCORE -&gt; 0%</w:t>
            </w:r>
          </w:p>
        </w:tc>
        <w:tc>
          <w:tcPr>
            <w:tcW w:type="dxa" w:w="3202"/>
            <w:shd w:val="clear" w:color="auto" w:fill="FEF2F2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b/>
                <w:color w:val="B91C1C"/>
                <w:sz w:val="18"/>
              </w:rPr>
              <w:t>Active temporary injunction under Order 39, Rules 1-2 CPC immediately locks transaction</w:t>
            </w:r>
          </w:p>
        </w:tc>
      </w:tr>
    </w:tbl>
    <w:p>
      <w:pPr>
        <w:spacing w:after="80"/>
      </w:pPr>
    </w:p>
    <w:p>
      <w:pPr>
        <w:keepNext/>
        <w:spacing w:before="260" w:after="60"/>
      </w:pPr>
      <w:r>
        <w:rPr>
          <w:rFonts w:ascii="Calibri" w:hAnsi="Calibri"/>
          <w:b/>
          <w:color w:val="0F172A"/>
          <w:sz w:val="27"/>
        </w:rPr>
        <w:t>8. Nationwide Deployment &amp; E-Governance Adoption Strategy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Sub-Registry Desks (Ministry of Law): </w:t>
      </w:r>
      <w:r>
        <w:rPr>
          <w:color w:val="0F172A"/>
        </w:rPr>
        <w:t xml:space="preserve"> Deployed directly on Sub-Registrar desktop terminals as a mandatory pre-verification gate before stamp papers are executed.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AC Land Offices (Ministry of Land): </w:t>
      </w:r>
      <w:r>
        <w:rPr>
          <w:color w:val="0F172A"/>
        </w:rPr>
        <w:t xml:space="preserve"> Automates cross-checking during e-Mutation hearings, instantly detecting forged Baya deed submissions and duplicate applications.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Commercial Banks &amp; Mortgage Lenders: </w:t>
      </w:r>
      <w:r>
        <w:rPr>
          <w:color w:val="0F172A"/>
        </w:rPr>
        <w:t xml:space="preserve"> Integrated via secure B2B REST API into core banking loan origination software, collapsing collateral property title vetting from 21 days down to 5 seconds.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Citizens &amp; Expatriate Investors: </w:t>
      </w:r>
      <w:r>
        <w:rPr>
          <w:color w:val="0F172A"/>
        </w:rPr>
        <w:t xml:space="preserve"> Mobile-responsive citizen portal ('Check Before You Pay') enabling prospective buyers and expatriates to verify title validity before paying token money.</w:t>
      </w:r>
    </w:p>
    <w:p>
      <w:pPr>
        <w:keepNext/>
        <w:spacing w:before="260" w:after="60"/>
      </w:pPr>
      <w:r>
        <w:rPr>
          <w:rFonts w:ascii="Calibri" w:hAnsi="Calibri"/>
          <w:b/>
          <w:color w:val="0F172A"/>
          <w:sz w:val="27"/>
        </w:rPr>
        <w:t>9. Team Composition &amp; Mentors (Rule Book Compliance)</w:t>
      </w:r>
    </w:p>
    <w:p>
      <w:pPr>
        <w:spacing w:before="0" w:after="80" w:line="276" w:lineRule="auto"/>
      </w:pPr>
      <w:r>
        <w:rPr>
          <w:color w:val="0F172A"/>
        </w:rPr>
        <w:t>In strict compliance with Section 6 of the LandTech 2026 Rule Book, Team TrueDeed comprises 2 DIU students and 2 specialized mentors: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  <w:shd w:val="clear" w:color="auto" w:fill="1E293B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01"/>
            <w:shd w:val="clear" w:color="auto" w:fill="1E293B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01"/>
            <w:shd w:val="clear" w:color="auto" w:fill="1E293B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b/>
                <w:color w:val="FFFFFF"/>
                <w:sz w:val="19"/>
              </w:rPr>
              <w:t>Department / Affiliation / ID</w:t>
            </w:r>
          </w:p>
        </w:tc>
        <w:tc>
          <w:tcPr>
            <w:tcW w:type="dxa" w:w="2401"/>
            <w:shd w:val="clear" w:color="auto" w:fill="1E293B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b/>
                <w:color w:val="FFFFFF"/>
                <w:sz w:val="19"/>
              </w:rPr>
              <w:t>Contact / Responsibility</w:t>
            </w:r>
          </w:p>
        </w:tc>
      </w:tr>
      <w:tr>
        <w:tc>
          <w:tcPr>
            <w:tcW w:type="dxa" w:w="2401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Student 1 (Team Leader)</w:t>
            </w:r>
          </w:p>
        </w:tc>
        <w:tc>
          <w:tcPr>
            <w:tcW w:type="dxa" w:w="2401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ISHTIAK AHMED</w:t>
            </w:r>
          </w:p>
        </w:tc>
        <w:tc>
          <w:tcPr>
            <w:tcW w:type="dxa" w:w="2401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ID: 0242310005101006</w:t>
              <w:br/>
              <w:t>Dept. of Computer Science and Engineering, DIU</w:t>
            </w:r>
          </w:p>
        </w:tc>
        <w:tc>
          <w:tcPr>
            <w:tcW w:type="dxa" w:w="2401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System Architecture, Full-Stack Engine &amp; Technical Defense</w:t>
            </w:r>
          </w:p>
        </w:tc>
      </w:tr>
      <w:tr>
        <w:tc>
          <w:tcPr>
            <w:tcW w:type="dxa" w:w="2401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Student 2 (Core Member)</w:t>
            </w:r>
          </w:p>
        </w:tc>
        <w:tc>
          <w:tcPr>
            <w:tcW w:type="dxa" w:w="2401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Ashfikur Rahman Mahi</w:t>
            </w:r>
          </w:p>
        </w:tc>
        <w:tc>
          <w:tcPr>
            <w:tcW w:type="dxa" w:w="2401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ID: 0242310005101618</w:t>
              <w:br/>
              <w:t>Dept. of Computer Science and Engineering, DIU</w:t>
            </w:r>
          </w:p>
        </w:tc>
        <w:tc>
          <w:tcPr>
            <w:tcW w:type="dxa" w:w="2401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UI/UX Architecture, Concept Documentation &amp; Quality Assurance</w:t>
            </w:r>
          </w:p>
        </w:tc>
      </w:tr>
      <w:tr>
        <w:tc>
          <w:tcPr>
            <w:tcW w:type="dxa" w:w="2401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Faculty Mentor</w:t>
            </w:r>
          </w:p>
        </w:tc>
        <w:tc>
          <w:tcPr>
            <w:tcW w:type="dxa" w:w="2401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Md. Jubayar Alam Rafi</w:t>
            </w:r>
          </w:p>
        </w:tc>
        <w:tc>
          <w:tcPr>
            <w:tcW w:type="dxa" w:w="2401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Lecturer, Department of CSE</w:t>
              <w:br/>
              <w:t>Daffodil International University</w:t>
            </w:r>
          </w:p>
        </w:tc>
        <w:tc>
          <w:tcPr>
            <w:tcW w:type="dxa" w:w="2401"/>
            <w:shd w:val="clear" w:color="auto"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alamrafi.cse@diu.edu.bd</w:t>
              <w:br/>
              <w:t>Phone: 01707587089</w:t>
            </w:r>
          </w:p>
        </w:tc>
      </w:tr>
      <w:tr>
        <w:tc>
          <w:tcPr>
            <w:tcW w:type="dxa" w:w="2401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Industry Support Mentor</w:t>
            </w:r>
          </w:p>
        </w:tc>
        <w:tc>
          <w:tcPr>
            <w:tcW w:type="dxa" w:w="2401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MD Zafor Iqbal</w:t>
            </w:r>
          </w:p>
        </w:tc>
        <w:tc>
          <w:tcPr>
            <w:tcW w:type="dxa" w:w="2401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CSE-TECH</w:t>
            </w:r>
          </w:p>
        </w:tc>
        <w:tc>
          <w:tcPr>
            <w:tcW w:type="dxa" w:w="2401"/>
            <w:shd w:val="clear" w:color="auto"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0F172A"/>
                <w:sz w:val="18"/>
              </w:rPr>
              <w:t>xoy4444@gmail.com</w:t>
              <w:br/>
              <w:t>GovTech Feasibility &amp; Enterprise Scaling</w:t>
            </w:r>
          </w:p>
        </w:tc>
      </w:tr>
    </w:tbl>
    <w:p>
      <w:pPr>
        <w:spacing w:after="80"/>
      </w:pPr>
    </w:p>
    <w:p>
      <w:pPr>
        <w:keepNext/>
        <w:spacing w:before="260" w:after="60"/>
      </w:pPr>
      <w:r>
        <w:rPr>
          <w:rFonts w:ascii="Calibri" w:hAnsi="Calibri"/>
          <w:b/>
          <w:color w:val="0F172A"/>
          <w:sz w:val="27"/>
        </w:rPr>
        <w:t>10. Hackathon Execution Roadmap &amp; Safeguards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Phase 1 (Current Submission): </w:t>
      </w:r>
      <w:r>
        <w:rPr>
          <w:color w:val="0F172A"/>
        </w:rPr>
        <w:t xml:space="preserve"> Concept Note submission, Formal Technical Architecture Blueprints, and Live GitHub Repository showcase.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Phase 2 (Final On-Site Hackathon): </w:t>
      </w:r>
      <w:r>
        <w:rPr>
          <w:color w:val="0F172A"/>
        </w:rPr>
        <w:t xml:space="preserve"> Live interactive prototype demonstration featuring real-time deed upload, asynchronous OCR parsing, Farayez fraud interception, and DAG timeline rendering.</w:t>
      </w:r>
    </w:p>
    <w:p>
      <w:pPr>
        <w:pStyle w:val="ListBullet"/>
        <w:spacing w:before="0" w:after="50" w:line="276" w:lineRule="auto"/>
      </w:pPr>
      <w:r>
        <w:rPr>
          <w:b/>
          <w:color w:val="0F172A"/>
        </w:rPr>
        <w:t xml:space="preserve">National Deployment Horizon: </w:t>
      </w:r>
      <w:r>
        <w:rPr>
          <w:color w:val="0F172A"/>
        </w:rPr>
        <w:t xml:space="preserve"> Collaborative sandbox pilot with the Ministry of Land and Sub-Registry offices under national e-governance innovation channels.</w:t>
      </w:r>
    </w:p>
    <w:sectPr w:rsidR="00FC693F" w:rsidRPr="0006063C" w:rsidSect="00034616"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