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80"/>
        <w:gridCol w:w="1800"/>
      </w:tblGrid>
      <w:tr>
        <w:tc>
          <w:tcPr>
            <w:tcW w:type="dxa" w:w="8280"/>
            <w:tcBorders>
              <w:top w:val="none"/>
              <w:left w:val="none"/>
              <w:bottom w:val="none"/>
              <w:right w:val="none"/>
            </w:tcBorders>
            <w:tcMar>
              <w:top w:type="dxa" w:w="0"/>
              <w:left w:type="dxa" w:w="0"/>
              <w:bottom w:type="dxa" w:w="0"/>
              <w:right w:type="dxa" w:w="200"/>
            </w:tcMar>
            <w:vAlign w:val="center"/>
          </w:tcPr>
          <w:p>
            <w:pPr>
              <w:spacing w:after="40" w:before="0"/>
            </w:pPr>
            <w:r>
              <w:rPr>
                <w:rFonts w:ascii="Times New Roman" w:cs="Times New Roman" w:eastAsia="Times New Roman" w:hAnsi="Times New Roman"/>
                <w:b/>
                <w:bCs/>
                <w:color w:val="2F5496"/>
                <w:spacing w:val="20"/>
                <w:sz w:val="60"/>
                <w:szCs w:val="60"/>
              </w:rPr>
              <w:t xml:space="preserve">ISHTIAQ AHMED IFTE</w:t>
            </w:r>
          </w:p>
          <w:p>
            <w:pPr>
              <w:pBdr>
                <w:bottom w:val="single" w:color="2F5496" w:sz="4" w:space="4"/>
              </w:pBdr>
              <w:spacing w:after="100" w:before="0"/>
            </w:pPr>
            <w:r>
              <w:rPr>
                <w:sz w:val="4"/>
                <w:szCs w:val="4"/>
              </w:rPr>
              <w:t xml:space="preserve"/>
            </w:r>
          </w:p>
          <w:p>
            <w:pPr>
              <w:tabs>
                <w:tab w:val="left" w:pos="2400"/>
                <w:tab w:val="left" w:pos="5400"/>
              </w:tabs>
              <w:spacing w:after="0" w:before="80"/>
            </w:pPr>
            <w:r>
              <w:rPr>
                <w:rFonts w:ascii="Times New Roman" w:cs="Times New Roman" w:eastAsia="Times New Roman" w:hAnsi="Times New Roman"/>
                <w:color w:val="555555"/>
                <w:sz w:val="18"/>
                <w:szCs w:val="18"/>
              </w:rPr>
              <w:t xml:space="preserve">+880 1825 907592</w:t>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555555"/>
                <w:sz w:val="18"/>
                <w:szCs w:val="18"/>
              </w:rPr>
              <w:t xml:space="preserve">ishtiaqahmed.ifte165@gmail.com</w:t>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555555"/>
                <w:sz w:val="18"/>
                <w:szCs w:val="18"/>
              </w:rPr>
              <w:t xml:space="preserve">North Badda, Dhaka 1212</w:t>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2F5496"/>
                <w:sz w:val="18"/>
                <w:szCs w:val="18"/>
              </w:rPr>
              <w:t xml:space="preserve">linkedin.com/in/ishtiaqifte</w:t>
            </w:r>
          </w:p>
        </w:tc>
        <w:tc>
          <w:tcPr>
            <w:tcW w:type="dxa" w:w="1800"/>
            <w:tcBorders>
              <w:top w:val="single" w:color="2F5496" w:sz="6"/>
              <w:left w:val="single" w:color="2F5496" w:sz="6"/>
              <w:bottom w:val="single" w:color="2F5496" w:sz="6"/>
              <w:right w:val="single" w:color="2F5496" w:sz="6"/>
            </w:tcBorders>
            <w:shd w:fill="EEF3FA"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2F5496"/>
                <w:sz w:val="18"/>
                <w:szCs w:val="18"/>
              </w:rPr>
              <w:t xml:space="preserve">PHOTO</w:t>
            </w:r>
          </w:p>
          <w:p>
            <w:pPr>
              <w:jc w:val="center"/>
            </w:pPr>
            <w:r>
              <w:rPr>
                <w:rFonts w:ascii="Times New Roman" w:cs="Times New Roman" w:eastAsia="Times New Roman" w:hAnsi="Times New Roman"/>
                <w:i/>
                <w:iCs/>
                <w:color w:val="888888"/>
                <w:sz w:val="16"/>
                <w:szCs w:val="16"/>
              </w:rPr>
              <w:t xml:space="preserve">(Insert here)</w:t>
            </w:r>
          </w:p>
        </w:tc>
      </w:tr>
    </w:tbl>
    <w:p>
      <w:pPr>
        <w:spacing w:after="0" w:before="180"/>
      </w:pPr>
    </w:p>
    <w:p>
      <w:pPr>
        <w:pBdr>
          <w:bottom w:val="single" w:color="2F5496" w:sz="6" w:space="2"/>
        </w:pBdr>
        <w:spacing w:after="0" w:before="240"/>
      </w:pPr>
      <w:r>
        <w:rPr>
          <w:rFonts w:ascii="Times New Roman" w:cs="Times New Roman" w:eastAsia="Times New Roman" w:hAnsi="Times New Roman"/>
          <w:b/>
          <w:bCs/>
          <w:color w:val="2F5496"/>
          <w:spacing w:val="60"/>
          <w:sz w:val="22"/>
          <w:szCs w:val="22"/>
        </w:rPr>
        <w:t xml:space="preserve">PROFESSIONAL SUMMARY</w:t>
      </w:r>
    </w:p>
    <w:p>
      <w:pPr>
        <w:spacing w:after="0" w:before="60"/>
      </w:pPr>
    </w:p>
    <w:p>
      <w:pPr>
        <w:spacing w:after="0" w:before="0"/>
      </w:pPr>
      <w:r>
        <w:rPr>
          <w:rFonts w:ascii="Times New Roman" w:cs="Times New Roman" w:eastAsia="Times New Roman" w:hAnsi="Times New Roman"/>
          <w:color w:val="000000"/>
          <w:sz w:val="20"/>
          <w:szCs w:val="20"/>
        </w:rPr>
        <w:t xml:space="preserve">Internal Audit professional with 2+ years of progressive experience at NEXT Ventures, specializing in affiliate and partner payment audits, revenue operations, marketing data integrity, and community &amp; partner management (CPM) functions. Promoted to Senior Executive in January 2026, with expanded coverage across marketing operations, affiliate management, and partner onboarding processes. Known for precise audit reporting, process gap identification, and delivering actionable findings to senior leadership.</w:t>
      </w:r>
    </w:p>
    <w:p>
      <w:pPr>
        <w:spacing w:after="0" w:before="40"/>
      </w:pPr>
    </w:p>
    <w:p>
      <w:pPr>
        <w:pBdr>
          <w:bottom w:val="single" w:color="2F5496" w:sz="6" w:space="2"/>
        </w:pBdr>
        <w:spacing w:after="0" w:before="240"/>
      </w:pPr>
      <w:r>
        <w:rPr>
          <w:rFonts w:ascii="Times New Roman" w:cs="Times New Roman" w:eastAsia="Times New Roman" w:hAnsi="Times New Roman"/>
          <w:b/>
          <w:bCs/>
          <w:color w:val="2F5496"/>
          <w:spacing w:val="60"/>
          <w:sz w:val="22"/>
          <w:szCs w:val="22"/>
        </w:rPr>
        <w:t xml:space="preserve">PROFESSIONAL EXPERIENCE</w:t>
      </w:r>
    </w:p>
    <w:p>
      <w:pPr>
        <w:spacing w:after="0" w:before="60"/>
      </w:pPr>
    </w:p>
    <w:p>
      <w:pPr>
        <w:tabs>
          <w:tab w:val="right" w:pos="9360"/>
        </w:tabs>
        <w:spacing w:after="30" w:before="140"/>
      </w:pPr>
      <w:r>
        <w:rPr>
          <w:rFonts w:ascii="Times New Roman" w:cs="Times New Roman" w:eastAsia="Times New Roman" w:hAnsi="Times New Roman"/>
          <w:b/>
          <w:bCs/>
          <w:color w:val="000000"/>
          <w:sz w:val="22"/>
          <w:szCs w:val="22"/>
        </w:rPr>
        <w:t xml:space="preserve">Senior Executive, Internal Audit</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color w:val="2F5496"/>
          <w:sz w:val="21"/>
          <w:szCs w:val="21"/>
        </w:rPr>
        <w:t xml:space="preserve">NEXT Ventures</w:t>
      </w:r>
      <w:r>
        <w:rPr>
          <w:sz w:val="20"/>
          <w:szCs w:val="20"/>
        </w:rPr>
        <w:t xml:space="preserve">	</w:t>
      </w:r>
      <w:r>
        <w:rPr>
          <w:rFonts w:ascii="Times New Roman" w:cs="Times New Roman" w:eastAsia="Times New Roman" w:hAnsi="Times New Roman"/>
          <w:i/>
          <w:iCs/>
          <w:color w:val="555555"/>
          <w:sz w:val="19"/>
          <w:szCs w:val="19"/>
        </w:rPr>
        <w:t xml:space="preserve">January 2026 – Present</w:t>
      </w: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Lead audit engagements covering affiliate &amp; partner payment processes, revenue operations, and marketing operational activities.</w:t>
      </w: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Audit marketing data and promotional activities — identify discrepancies in spend tracking, campaign reporting, and performance metrics.</w:t>
      </w: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Review affiliate management processes handled by the Community &amp; Partner Management (CPM) function, including partner onboarding, commission structures, and payment workflows.</w:t>
      </w: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Deliver structured audit reports with risk-rated observations and corrective action recommendations to the Head of Internal Audit and senior leadership.</w:t>
      </w:r>
    </w:p>
    <w:p>
      <w:pPr>
        <w:tabs>
          <w:tab w:val="right" w:pos="9360"/>
        </w:tabs>
        <w:spacing w:after="30" w:before="140"/>
      </w:pPr>
      <w:r>
        <w:rPr>
          <w:rFonts w:ascii="Times New Roman" w:cs="Times New Roman" w:eastAsia="Times New Roman" w:hAnsi="Times New Roman"/>
          <w:b/>
          <w:bCs/>
          <w:color w:val="000000"/>
          <w:sz w:val="22"/>
          <w:szCs w:val="22"/>
        </w:rPr>
        <w:t xml:space="preserve">Executive, Internal Audit</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color w:val="2F5496"/>
          <w:sz w:val="21"/>
          <w:szCs w:val="21"/>
        </w:rPr>
        <w:t xml:space="preserve">NEXT Ventures</w:t>
      </w:r>
      <w:r>
        <w:rPr>
          <w:sz w:val="20"/>
          <w:szCs w:val="20"/>
        </w:rPr>
        <w:t xml:space="preserve">	</w:t>
      </w:r>
      <w:r>
        <w:rPr>
          <w:rFonts w:ascii="Times New Roman" w:cs="Times New Roman" w:eastAsia="Times New Roman" w:hAnsi="Times New Roman"/>
          <w:i/>
          <w:iCs/>
          <w:color w:val="555555"/>
          <w:sz w:val="19"/>
          <w:szCs w:val="19"/>
        </w:rPr>
        <w:t xml:space="preserve">February 2024 – December 2025</w:t>
      </w: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Audited affiliate payment records and partner commission processes — identified payment inconsistencies and reported findings with supporting evidence.</w:t>
      </w: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Assessed marketing operations across Google Ads, Meta, and Bing — flagged underperforming spend and operational inefficiencies.</w:t>
      </w: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Reconciled revenue data from multiple payment service providers; identified and quantified discrepancies for corrective action.</w:t>
      </w: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Audited IT asset inventory and procurement processes (new office setup) — identified valuation gaps and submitted formal audit observations.</w:t>
      </w: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Identified and reported process gaps in risk management operations, contributing to improved operational controls.</w:t>
      </w:r>
    </w:p>
    <w:p>
      <w:pPr>
        <w:spacing w:after="0" w:before="100"/>
      </w:pPr>
    </w:p>
    <w:p>
      <w:pPr>
        <w:pBdr>
          <w:bottom w:val="single" w:color="2F5496" w:sz="6" w:space="2"/>
        </w:pBdr>
        <w:spacing w:after="0" w:before="240"/>
      </w:pPr>
      <w:r>
        <w:rPr>
          <w:rFonts w:ascii="Times New Roman" w:cs="Times New Roman" w:eastAsia="Times New Roman" w:hAnsi="Times New Roman"/>
          <w:b/>
          <w:bCs/>
          <w:color w:val="2F5496"/>
          <w:spacing w:val="60"/>
          <w:sz w:val="22"/>
          <w:szCs w:val="22"/>
        </w:rPr>
        <w:t xml:space="preserve">EDUCATION</w:t>
      </w:r>
    </w:p>
    <w:p>
      <w:pPr>
        <w:spacing w:after="0" w:before="60"/>
      </w:pPr>
    </w:p>
    <w:p>
      <w:pPr>
        <w:tabs>
          <w:tab w:val="right" w:pos="9360"/>
        </w:tabs>
        <w:spacing w:after="30" w:before="0"/>
      </w:pPr>
      <w:r>
        <w:rPr>
          <w:rFonts w:ascii="Times New Roman" w:cs="Times New Roman" w:eastAsia="Times New Roman" w:hAnsi="Times New Roman"/>
          <w:b/>
          <w:bCs/>
          <w:color w:val="000000"/>
          <w:sz w:val="21"/>
          <w:szCs w:val="21"/>
        </w:rPr>
        <w:t xml:space="preserve">Master of Business Administration (MBA) — Accounting</w:t>
      </w:r>
      <w:r>
        <w:rPr>
          <w:sz w:val="20"/>
          <w:szCs w:val="20"/>
        </w:rPr>
        <w:t xml:space="preserve">	</w:t>
      </w:r>
      <w:r>
        <w:rPr>
          <w:rFonts w:ascii="Times New Roman" w:cs="Times New Roman" w:eastAsia="Times New Roman" w:hAnsi="Times New Roman"/>
          <w:i/>
          <w:iCs/>
          <w:color w:val="555555"/>
          <w:sz w:val="19"/>
          <w:szCs w:val="19"/>
        </w:rPr>
        <w:t xml:space="preserve">2024 – 2025</w:t>
      </w:r>
    </w:p>
    <w:p>
      <w:pPr>
        <w:spacing w:after="60" w:before="0"/>
      </w:pPr>
      <w:r>
        <w:rPr>
          <w:rFonts w:ascii="Times New Roman" w:cs="Times New Roman" w:eastAsia="Times New Roman" w:hAnsi="Times New Roman"/>
          <w:color w:val="555555"/>
          <w:sz w:val="19"/>
          <w:szCs w:val="19"/>
        </w:rPr>
        <w:t xml:space="preserve">East West University</w:t>
      </w:r>
      <w:r>
        <w:rPr>
          <w:rFonts w:ascii="Times New Roman" w:cs="Times New Roman" w:eastAsia="Times New Roman" w:hAnsi="Times New Roman"/>
          <w:b/>
          <w:bCs/>
          <w:color w:val="2F5496"/>
          <w:sz w:val="19"/>
          <w:szCs w:val="19"/>
        </w:rPr>
        <w:t xml:space="preserve">   •   CGPA: 4.00 / 4.00</w:t>
      </w:r>
    </w:p>
    <w:p>
      <w:pPr>
        <w:tabs>
          <w:tab w:val="right" w:pos="9360"/>
        </w:tabs>
        <w:spacing w:after="30" w:before="60"/>
      </w:pPr>
      <w:r>
        <w:rPr>
          <w:rFonts w:ascii="Times New Roman" w:cs="Times New Roman" w:eastAsia="Times New Roman" w:hAnsi="Times New Roman"/>
          <w:b/>
          <w:bCs/>
          <w:color w:val="000000"/>
          <w:sz w:val="21"/>
          <w:szCs w:val="21"/>
        </w:rPr>
        <w:t xml:space="preserve">Bachelor of Business Administration (BBA) — Accounting</w:t>
      </w:r>
      <w:r>
        <w:rPr>
          <w:sz w:val="20"/>
          <w:szCs w:val="20"/>
        </w:rPr>
        <w:t xml:space="preserve">	</w:t>
      </w:r>
      <w:r>
        <w:rPr>
          <w:rFonts w:ascii="Times New Roman" w:cs="Times New Roman" w:eastAsia="Times New Roman" w:hAnsi="Times New Roman"/>
          <w:i/>
          <w:iCs/>
          <w:color w:val="555555"/>
          <w:sz w:val="19"/>
          <w:szCs w:val="19"/>
        </w:rPr>
        <w:t xml:space="preserve">2020 – 2024</w:t>
      </w:r>
    </w:p>
    <w:p>
      <w:pPr>
        <w:spacing w:after="10" w:before="0"/>
      </w:pPr>
      <w:r>
        <w:rPr>
          <w:rFonts w:ascii="Times New Roman" w:cs="Times New Roman" w:eastAsia="Times New Roman" w:hAnsi="Times New Roman"/>
          <w:color w:val="555555"/>
          <w:sz w:val="19"/>
          <w:szCs w:val="19"/>
        </w:rPr>
        <w:t xml:space="preserve">East West University</w:t>
      </w:r>
      <w:r>
        <w:rPr>
          <w:rFonts w:ascii="Times New Roman" w:cs="Times New Roman" w:eastAsia="Times New Roman" w:hAnsi="Times New Roman"/>
          <w:b/>
          <w:bCs/>
          <w:color w:val="2F5496"/>
          <w:sz w:val="19"/>
          <w:szCs w:val="19"/>
        </w:rPr>
        <w:t xml:space="preserve">   •   CGPA: 3.95 / 4.00</w:t>
      </w:r>
    </w:p>
    <w:p>
      <w:pPr>
        <w:spacing w:after="60" w:before="0"/>
      </w:pPr>
      <w:r>
        <w:rPr>
          <w:rFonts w:ascii="Times New Roman" w:cs="Times New Roman" w:eastAsia="Times New Roman" w:hAnsi="Times New Roman"/>
          <w:i/>
          <w:iCs/>
          <w:color w:val="555555"/>
          <w:sz w:val="18"/>
          <w:szCs w:val="18"/>
        </w:rPr>
        <w:t xml:space="preserve">Awarded Summa Cum Laude distinction, 23rd Convocation 2024</w:t>
      </w:r>
    </w:p>
    <w:p>
      <w:pPr>
        <w:tabs>
          <w:tab w:val="right" w:pos="9360"/>
        </w:tabs>
        <w:spacing w:after="30" w:before="60"/>
      </w:pPr>
      <w:r>
        <w:rPr>
          <w:rFonts w:ascii="Times New Roman" w:cs="Times New Roman" w:eastAsia="Times New Roman" w:hAnsi="Times New Roman"/>
          <w:b/>
          <w:bCs/>
          <w:color w:val="000000"/>
          <w:sz w:val="21"/>
          <w:szCs w:val="21"/>
        </w:rPr>
        <w:t xml:space="preserve">Higher Secondary Certificate (HSC) — Science</w:t>
      </w:r>
      <w:r>
        <w:rPr>
          <w:sz w:val="20"/>
          <w:szCs w:val="20"/>
        </w:rPr>
        <w:t xml:space="preserve">	</w:t>
      </w:r>
      <w:r>
        <w:rPr>
          <w:rFonts w:ascii="Times New Roman" w:cs="Times New Roman" w:eastAsia="Times New Roman" w:hAnsi="Times New Roman"/>
          <w:i/>
          <w:iCs/>
          <w:color w:val="555555"/>
          <w:sz w:val="19"/>
          <w:szCs w:val="19"/>
        </w:rPr>
        <w:t xml:space="preserve">2016 – 2018</w:t>
      </w:r>
    </w:p>
    <w:p>
      <w:pPr>
        <w:spacing w:after="60" w:before="0"/>
      </w:pPr>
      <w:r>
        <w:rPr>
          <w:rFonts w:ascii="Times New Roman" w:cs="Times New Roman" w:eastAsia="Times New Roman" w:hAnsi="Times New Roman"/>
          <w:color w:val="555555"/>
          <w:sz w:val="19"/>
          <w:szCs w:val="19"/>
        </w:rPr>
        <w:t xml:space="preserve">Birshreshtha Munshi Abdur Rouf Public College</w:t>
      </w:r>
      <w:r>
        <w:rPr>
          <w:rFonts w:ascii="Times New Roman" w:cs="Times New Roman" w:eastAsia="Times New Roman" w:hAnsi="Times New Roman"/>
          <w:b/>
          <w:bCs/>
          <w:color w:val="2F5496"/>
          <w:sz w:val="19"/>
          <w:szCs w:val="19"/>
        </w:rPr>
        <w:t xml:space="preserve">   •   Grade: 4.33 / 5.00</w:t>
      </w:r>
    </w:p>
    <w:p>
      <w:pPr>
        <w:tabs>
          <w:tab w:val="right" w:pos="9360"/>
        </w:tabs>
        <w:spacing w:after="30" w:before="60"/>
      </w:pPr>
      <w:r>
        <w:rPr>
          <w:rFonts w:ascii="Times New Roman" w:cs="Times New Roman" w:eastAsia="Times New Roman" w:hAnsi="Times New Roman"/>
          <w:b/>
          <w:bCs/>
          <w:color w:val="000000"/>
          <w:sz w:val="21"/>
          <w:szCs w:val="21"/>
        </w:rPr>
        <w:t xml:space="preserve">Secondary School Certificate (SSC) — Science</w:t>
      </w:r>
      <w:r>
        <w:rPr>
          <w:sz w:val="20"/>
          <w:szCs w:val="20"/>
        </w:rPr>
        <w:t xml:space="preserve">	</w:t>
      </w:r>
      <w:r>
        <w:rPr>
          <w:rFonts w:ascii="Times New Roman" w:cs="Times New Roman" w:eastAsia="Times New Roman" w:hAnsi="Times New Roman"/>
          <w:i/>
          <w:iCs/>
          <w:color w:val="555555"/>
          <w:sz w:val="19"/>
          <w:szCs w:val="19"/>
        </w:rPr>
        <w:t xml:space="preserve">2014 – 2016</w:t>
      </w:r>
    </w:p>
    <w:p>
      <w:pPr>
        <w:spacing w:after="60" w:before="0"/>
      </w:pPr>
      <w:r>
        <w:rPr>
          <w:rFonts w:ascii="Times New Roman" w:cs="Times New Roman" w:eastAsia="Times New Roman" w:hAnsi="Times New Roman"/>
          <w:color w:val="555555"/>
          <w:sz w:val="19"/>
          <w:szCs w:val="19"/>
        </w:rPr>
        <w:t xml:space="preserve">Feni Government Pilot High School</w:t>
      </w:r>
      <w:r>
        <w:rPr>
          <w:rFonts w:ascii="Times New Roman" w:cs="Times New Roman" w:eastAsia="Times New Roman" w:hAnsi="Times New Roman"/>
          <w:b/>
          <w:bCs/>
          <w:color w:val="2F5496"/>
          <w:sz w:val="19"/>
          <w:szCs w:val="19"/>
        </w:rPr>
        <w:t xml:space="preserve">   •   Grade: 5.00 / 5.00</w:t>
      </w:r>
    </w:p>
    <w:p>
      <w:pPr>
        <w:pBdr>
          <w:bottom w:val="single" w:color="2F5496" w:sz="6" w:space="2"/>
        </w:pBdr>
        <w:spacing w:after="0" w:before="240"/>
      </w:pPr>
      <w:r>
        <w:rPr>
          <w:rFonts w:ascii="Times New Roman" w:cs="Times New Roman" w:eastAsia="Times New Roman" w:hAnsi="Times New Roman"/>
          <w:b/>
          <w:bCs/>
          <w:color w:val="2F5496"/>
          <w:spacing w:val="60"/>
          <w:sz w:val="22"/>
          <w:szCs w:val="22"/>
        </w:rPr>
        <w:t xml:space="preserve">HONORS &amp; AWARDS</w:t>
      </w:r>
    </w:p>
    <w:p>
      <w:pPr>
        <w:spacing w:after="0" w:before="60"/>
      </w:pP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Summa Cum Laude  —  East West University, 23rd Convocation 2024</w:t>
      </w: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Merit Scholarship  —  East West University, 2022 &amp; 2023</w:t>
      </w: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Dean's List Award  —  East West University, 2021</w:t>
      </w:r>
    </w:p>
    <w:p>
      <w:pPr>
        <w:pStyle w:val="ListParagraph"/>
        <w:numPr>
          <w:ilvl w:val="0"/>
          <w:numId w:val="2"/>
        </w:numPr>
        <w:spacing w:after="30" w:before="30"/>
      </w:pPr>
      <w:r>
        <w:rPr>
          <w:rFonts w:ascii="Times New Roman" w:cs="Times New Roman" w:eastAsia="Times New Roman" w:hAnsi="Times New Roman"/>
          <w:color w:val="000000"/>
          <w:sz w:val="20"/>
          <w:szCs w:val="20"/>
        </w:rPr>
        <w:t xml:space="preserve">Merit Scholarship (General Category)  —  Education Board, 2016</w:t>
      </w:r>
    </w:p>
    <w:p>
      <w:pPr>
        <w:spacing w:after="0" w:before="40"/>
      </w:pPr>
    </w:p>
    <w:p>
      <w:pPr>
        <w:pBdr>
          <w:bottom w:val="single" w:color="2F5496" w:sz="6" w:space="2"/>
        </w:pBdr>
        <w:spacing w:after="0" w:before="240"/>
      </w:pPr>
      <w:r>
        <w:rPr>
          <w:rFonts w:ascii="Times New Roman" w:cs="Times New Roman" w:eastAsia="Times New Roman" w:hAnsi="Times New Roman"/>
          <w:b/>
          <w:bCs/>
          <w:color w:val="2F5496"/>
          <w:spacing w:val="60"/>
          <w:sz w:val="22"/>
          <w:szCs w:val="22"/>
        </w:rPr>
        <w:t xml:space="preserve">CORE COMPETENCIES</w:t>
      </w:r>
    </w:p>
    <w:p>
      <w:pPr>
        <w:spacing w:after="0" w:before="60"/>
      </w:pPr>
    </w:p>
    <w:p>
      <w:pPr>
        <w:tabs>
          <w:tab w:val="left" w:pos="2600"/>
          <w:tab w:val="left" w:pos="5200"/>
          <w:tab w:val="left" w:pos="7800"/>
        </w:tabs>
        <w:spacing w:after="60" w:before="0"/>
      </w:pPr>
      <w:r>
        <w:rPr>
          <w:rFonts w:ascii="Times New Roman" w:cs="Times New Roman" w:eastAsia="Times New Roman" w:hAnsi="Times New Roman"/>
          <w:color w:val="000000"/>
          <w:sz w:val="20"/>
          <w:szCs w:val="20"/>
        </w:rPr>
        <w:t xml:space="preserve">Affiliate &amp; Partner Audit</w:t>
      </w:r>
      <w:r>
        <w:rPr>
          <w:sz w:val="20"/>
          <w:szCs w:val="20"/>
        </w:rPr>
        <w:t xml:space="preserve">	</w:t>
      </w:r>
      <w:r>
        <w:rPr>
          <w:rFonts w:ascii="Times New Roman" w:cs="Times New Roman" w:eastAsia="Times New Roman" w:hAnsi="Times New Roman"/>
          <w:color w:val="000000"/>
          <w:sz w:val="20"/>
          <w:szCs w:val="20"/>
        </w:rPr>
        <w:t xml:space="preserve">Revenue Operations Audit</w:t>
      </w:r>
      <w:r>
        <w:rPr>
          <w:sz w:val="20"/>
          <w:szCs w:val="20"/>
        </w:rPr>
        <w:t xml:space="preserve">	</w:t>
      </w:r>
      <w:r>
        <w:rPr>
          <w:rFonts w:ascii="Times New Roman" w:cs="Times New Roman" w:eastAsia="Times New Roman" w:hAnsi="Times New Roman"/>
          <w:color w:val="000000"/>
          <w:sz w:val="20"/>
          <w:szCs w:val="20"/>
        </w:rPr>
        <w:t xml:space="preserve">Marketing Data Audit</w:t>
      </w:r>
    </w:p>
    <w:p>
      <w:pPr>
        <w:tabs>
          <w:tab w:val="left" w:pos="2600"/>
          <w:tab w:val="left" w:pos="5200"/>
          <w:tab w:val="left" w:pos="7800"/>
        </w:tabs>
        <w:spacing w:after="60" w:before="0"/>
      </w:pPr>
      <w:r>
        <w:rPr>
          <w:rFonts w:ascii="Times New Roman" w:cs="Times New Roman" w:eastAsia="Times New Roman" w:hAnsi="Times New Roman"/>
          <w:color w:val="000000"/>
          <w:sz w:val="20"/>
          <w:szCs w:val="20"/>
        </w:rPr>
        <w:t xml:space="preserve">Risk Management</w:t>
      </w:r>
      <w:r>
        <w:rPr>
          <w:sz w:val="20"/>
          <w:szCs w:val="20"/>
        </w:rPr>
        <w:t xml:space="preserve">	</w:t>
      </w:r>
      <w:r>
        <w:rPr>
          <w:rFonts w:ascii="Times New Roman" w:cs="Times New Roman" w:eastAsia="Times New Roman" w:hAnsi="Times New Roman"/>
          <w:color w:val="000000"/>
          <w:sz w:val="20"/>
          <w:szCs w:val="20"/>
        </w:rPr>
        <w:t xml:space="preserve">Financial Reconciliation</w:t>
      </w:r>
      <w:r>
        <w:rPr>
          <w:sz w:val="20"/>
          <w:szCs w:val="20"/>
        </w:rPr>
        <w:t xml:space="preserve">	</w:t>
      </w:r>
      <w:r>
        <w:rPr>
          <w:rFonts w:ascii="Times New Roman" w:cs="Times New Roman" w:eastAsia="Times New Roman" w:hAnsi="Times New Roman"/>
          <w:color w:val="000000"/>
          <w:sz w:val="20"/>
          <w:szCs w:val="20"/>
        </w:rPr>
        <w:t xml:space="preserve">Process Gap Identification</w:t>
      </w:r>
    </w:p>
    <w:p>
      <w:pPr>
        <w:tabs>
          <w:tab w:val="left" w:pos="2600"/>
          <w:tab w:val="left" w:pos="5200"/>
          <w:tab w:val="left" w:pos="7800"/>
        </w:tabs>
        <w:spacing w:after="60" w:before="0"/>
      </w:pPr>
      <w:r>
        <w:rPr>
          <w:rFonts w:ascii="Times New Roman" w:cs="Times New Roman" w:eastAsia="Times New Roman" w:hAnsi="Times New Roman"/>
          <w:color w:val="000000"/>
          <w:sz w:val="20"/>
          <w:szCs w:val="20"/>
        </w:rPr>
        <w:t xml:space="preserve">Audit Report Writing</w:t>
      </w:r>
      <w:r>
        <w:rPr>
          <w:sz w:val="20"/>
          <w:szCs w:val="20"/>
        </w:rPr>
        <w:t xml:space="preserve">	</w:t>
      </w:r>
      <w:r>
        <w:rPr>
          <w:rFonts w:ascii="Times New Roman" w:cs="Times New Roman" w:eastAsia="Times New Roman" w:hAnsi="Times New Roman"/>
          <w:color w:val="000000"/>
          <w:sz w:val="20"/>
          <w:szCs w:val="20"/>
        </w:rPr>
        <w:t xml:space="preserve">MS Excel (Advanced)</w:t>
      </w:r>
      <w:r>
        <w:rPr>
          <w:sz w:val="20"/>
          <w:szCs w:val="20"/>
        </w:rPr>
        <w:t xml:space="preserve">	</w:t>
      </w:r>
      <w:r>
        <w:rPr>
          <w:rFonts w:ascii="Times New Roman" w:cs="Times New Roman" w:eastAsia="Times New Roman" w:hAnsi="Times New Roman"/>
          <w:color w:val="000000"/>
          <w:sz w:val="20"/>
          <w:szCs w:val="20"/>
        </w:rPr>
        <w:t xml:space="preserve">IT &amp; Procurement Audit</w:t>
      </w:r>
    </w:p>
    <w:p>
      <w:pPr>
        <w:spacing w:after="0" w:before="40"/>
      </w:pPr>
    </w:p>
    <w:p>
      <w:pPr>
        <w:pBdr>
          <w:bottom w:val="single" w:color="2F5496" w:sz="6" w:space="2"/>
        </w:pBdr>
        <w:spacing w:after="0" w:before="240"/>
      </w:pPr>
      <w:r>
        <w:rPr>
          <w:rFonts w:ascii="Times New Roman" w:cs="Times New Roman" w:eastAsia="Times New Roman" w:hAnsi="Times New Roman"/>
          <w:b/>
          <w:bCs/>
          <w:color w:val="2F5496"/>
          <w:spacing w:val="60"/>
          <w:sz w:val="22"/>
          <w:szCs w:val="22"/>
        </w:rPr>
        <w:t xml:space="preserve">PROFESSIONAL REFERENCES</w:t>
      </w:r>
    </w:p>
    <w:p>
      <w:pPr>
        <w:spacing w:after="0" w:before="60"/>
      </w:pPr>
    </w:p>
    <w:p>
      <w:pPr>
        <w:spacing w:after="10" w:before="0"/>
      </w:pPr>
      <w:r>
        <w:rPr>
          <w:rFonts w:ascii="Times New Roman" w:cs="Times New Roman" w:eastAsia="Times New Roman" w:hAnsi="Times New Roman"/>
          <w:b/>
          <w:bCs/>
          <w:color w:val="000000"/>
          <w:sz w:val="21"/>
          <w:szCs w:val="21"/>
        </w:rPr>
        <w:t xml:space="preserve">Md. Tariqul Islam</w:t>
      </w:r>
    </w:p>
    <w:p>
      <w:pPr>
        <w:spacing w:after="0" w:before="0"/>
      </w:pPr>
      <w:r>
        <w:rPr>
          <w:rFonts w:ascii="Times New Roman" w:cs="Times New Roman" w:eastAsia="Times New Roman" w:hAnsi="Times New Roman"/>
          <w:color w:val="555555"/>
          <w:sz w:val="19"/>
          <w:szCs w:val="19"/>
        </w:rPr>
        <w:t xml:space="preserve">Vice President, Finance &amp; Audit  |  NEXT Ventures</w:t>
      </w:r>
    </w:p>
    <w:p>
      <w:pPr>
        <w:spacing w:after="60" w:before="0"/>
      </w:pPr>
      <w:r>
        <w:rPr>
          <w:rFonts w:ascii="Times New Roman" w:cs="Times New Roman" w:eastAsia="Times New Roman" w:hAnsi="Times New Roman"/>
          <w:color w:val="888888"/>
          <w:sz w:val="18"/>
          <w:szCs w:val="18"/>
        </w:rPr>
        <w:t xml:space="preserve">+880 1700 701386   |   tariqul@nextventures.io</w:t>
      </w:r>
    </w:p>
    <w:p>
      <w:pPr>
        <w:spacing w:after="10" w:before="40"/>
      </w:pPr>
      <w:r>
        <w:rPr>
          <w:rFonts w:ascii="Times New Roman" w:cs="Times New Roman" w:eastAsia="Times New Roman" w:hAnsi="Times New Roman"/>
          <w:b/>
          <w:bCs/>
          <w:color w:val="000000"/>
          <w:sz w:val="21"/>
          <w:szCs w:val="21"/>
        </w:rPr>
        <w:t xml:space="preserve">Dr. Anup Chowdhury</w:t>
      </w:r>
    </w:p>
    <w:p>
      <w:pPr>
        <w:spacing w:after="0" w:before="0"/>
      </w:pPr>
      <w:r>
        <w:rPr>
          <w:rFonts w:ascii="Times New Roman" w:cs="Times New Roman" w:eastAsia="Times New Roman" w:hAnsi="Times New Roman"/>
          <w:color w:val="555555"/>
          <w:sz w:val="19"/>
          <w:szCs w:val="19"/>
        </w:rPr>
        <w:t xml:space="preserve">Professor &amp; Dean, Department of Business Administration  |  East West University</w:t>
      </w:r>
    </w:p>
    <w:p>
      <w:pPr>
        <w:spacing w:after="80" w:before="0"/>
      </w:pPr>
      <w:r>
        <w:rPr>
          <w:rFonts w:ascii="Times New Roman" w:cs="Times New Roman" w:eastAsia="Times New Roman" w:hAnsi="Times New Roman"/>
          <w:color w:val="888888"/>
          <w:sz w:val="18"/>
          <w:szCs w:val="18"/>
        </w:rPr>
        <w:t xml:space="preserve">anup@ewubd.edu</w:t>
      </w:r>
    </w:p>
    <w:sectPr>
      <w:pgSz w:w="12240" w:h="15840" w:orient="portrait"/>
      <w:pgMar w:top="8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rFonts w:ascii="Symbol" w:cs="Symbol" w:eastAsia="Symbol" w:hAnsi="Symbol"/>
        <w:color w:val="2F5496"/>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2026-05-06T13:25:39.605Z</dcterms:created>
  <dcterms:modified xsi:type="dcterms:W3CDTF">2026-05-06T13:25:39.624Z</dcterms:modified>
</cp:coreProperties>
</file>

<file path=docProps/custom.xml><?xml version="1.0" encoding="utf-8"?>
<Properties xmlns="http://schemas.openxmlformats.org/officeDocument/2006/custom-properties" xmlns:vt="http://schemas.openxmlformats.org/officeDocument/2006/docPropsVTypes"/>
</file>