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bidi w:val="0"/>
        <w:jc w:val="start"/>
        <w:rPr/>
      </w:pPr>
      <w:r>
        <w:rPr>
          <w:b/>
          <w:bCs/>
          <w:u w:val="single"/>
        </w:rPr>
        <w:t xml:space="preserve">What is TB ? </w:t>
      </w:r>
      <w:r>
        <w:rPr/>
        <w:br/>
        <w:br/>
      </w:r>
      <w:r>
        <w:rPr/>
        <w:t xml:space="preserve">Tuberculosis is an infectious disease caused by the bacterium </w:t>
      </w:r>
      <w:r>
        <w:rPr>
          <w:i/>
        </w:rPr>
        <w:t>Mycobacterium tuberculosis</w:t>
      </w:r>
      <w:r>
        <w:rPr/>
        <w:t xml:space="preserve">. </w:t>
      </w:r>
    </w:p>
    <w:p>
      <w:pPr>
        <w:pStyle w:val="Normal"/>
        <w:bidi w:val="0"/>
        <w:jc w:val="start"/>
        <w:rPr/>
      </w:pPr>
      <w:r>
        <w:rPr/>
      </w:r>
    </w:p>
    <w:p>
      <w:pPr>
        <w:pStyle w:val="Normal"/>
        <w:bidi w:val="0"/>
        <w:jc w:val="start"/>
        <w:rPr/>
      </w:pPr>
      <w:r>
        <w:rPr/>
        <w:t>It primarily attacks the lungs (pulmonary TB), but it can spread to any part of the body, including the kidneys, spine, and brain. TB spreads through the air; when a person with active lung TB coughs, sneezes, or spits, they expel bacteria into the air. Inhaling just a few of these germs is enough to become infected.</w:t>
      </w:r>
    </w:p>
    <w:p>
      <w:pPr>
        <w:pStyle w:val="Normal"/>
        <w:bidi w:val="0"/>
        <w:jc w:val="start"/>
        <w:rPr/>
      </w:pPr>
      <w:r>
        <w:rPr/>
      </w:r>
    </w:p>
    <w:p>
      <w:pPr>
        <w:pStyle w:val="Normal"/>
        <w:bidi w:val="0"/>
        <w:jc w:val="start"/>
        <w:rPr/>
      </w:pPr>
      <w:r>
        <w:rPr>
          <w:b/>
        </w:rPr>
        <w:t>Latent TB:</w:t>
      </w:r>
      <w:r>
        <w:rPr/>
        <w:t xml:space="preserve"> You have the bacteria in your body, but your immune system keeps it from turning into active disease. You don't feel sick, have no symptoms, and </w:t>
      </w:r>
      <w:r>
        <w:rPr>
          <w:b/>
        </w:rPr>
        <w:t>cannot</w:t>
      </w:r>
      <w:r>
        <w:rPr/>
        <w:t xml:space="preserve"> spread it to others.</w:t>
      </w:r>
    </w:p>
    <w:p>
      <w:pPr>
        <w:pStyle w:val="Normal"/>
        <w:bidi w:val="0"/>
        <w:jc w:val="start"/>
        <w:rPr/>
      </w:pPr>
      <w:r>
        <w:rPr/>
      </w:r>
    </w:p>
    <w:p>
      <w:pPr>
        <w:pStyle w:val="Normal"/>
        <w:bidi w:val="0"/>
        <w:jc w:val="start"/>
        <w:rPr/>
      </w:pPr>
      <w:r>
        <w:rPr>
          <w:b/>
        </w:rPr>
        <w:t>Active TB:</w:t>
      </w:r>
      <w:r>
        <w:rPr/>
        <w:t xml:space="preserve"> The bacteria multiply and make you sick. Symptoms include a chronic cough (often with bloody mucus), chest pain, severe weight loss, night sweats, and fever. People with active lung TB are highly contagious.</w:t>
      </w:r>
    </w:p>
    <w:p>
      <w:pPr>
        <w:pStyle w:val="Normal"/>
        <w:bidi w:val="0"/>
        <w:jc w:val="start"/>
        <w:rPr/>
      </w:pPr>
      <w:r>
        <w:rPr/>
      </w:r>
    </w:p>
    <w:p>
      <w:pPr>
        <w:pStyle w:val="Normal"/>
        <w:bidi w:val="0"/>
        <w:jc w:val="start"/>
        <w:rPr/>
      </w:pPr>
      <w:r>
        <w:rPr/>
        <w:t xml:space="preserve">About a quarter of the global population is estimated to have been infected with TB bacteria, but most people will not go on to develop TB disease and some will clear the infection. Those who are infected but not (yet) ill with the disease cannot transmit it. </w:t>
      </w:r>
    </w:p>
    <w:p>
      <w:pPr>
        <w:pStyle w:val="Normal"/>
        <w:bidi w:val="0"/>
        <w:jc w:val="start"/>
        <w:rPr/>
      </w:pPr>
      <w:r>
        <w:rPr/>
      </w:r>
    </w:p>
    <w:p>
      <w:pPr>
        <w:pStyle w:val="Normal"/>
        <w:bidi w:val="0"/>
        <w:jc w:val="start"/>
        <w:rPr/>
      </w:pPr>
      <w:r>
        <w:rPr>
          <w:b/>
        </w:rPr>
        <w:t>Drug Resistance:</w:t>
      </w:r>
      <w:r>
        <w:rPr/>
        <w:t xml:space="preserve"> Multidrug-resistant TB (MDR-TB) is a growing public health security threat. When patients do not complete their months-long antibiotic treatments, the surviving bacteria mutate and become resistant to standard drugs. Treating MDR-TB requires expensive, highly toxic medications that take much longer to work.</w:t>
      </w:r>
    </w:p>
    <w:p>
      <w:pPr>
        <w:pStyle w:val="Normal"/>
        <w:bidi w:val="0"/>
        <w:jc w:val="start"/>
        <w:rPr/>
      </w:pPr>
      <w:r>
        <w:rPr/>
      </w:r>
    </w:p>
    <w:p>
      <w:pPr>
        <w:pStyle w:val="Normal"/>
        <w:bidi w:val="0"/>
        <w:jc w:val="start"/>
        <w:rPr/>
      </w:pPr>
      <w:r>
        <w:rPr/>
        <w:t>https://pmc.ncbi.nlm.nih.gov/articles/PMC11995120/#:~:text=Many%20patients%20in%20low%2Dresource,further%20development%20of%20drug%20resistance.&amp;text=The%20success%20rate%20for%20MDR,of%20older%20drugs%20%5B3%5D.</w:t>
      </w:r>
    </w:p>
    <w:p>
      <w:pPr>
        <w:pStyle w:val="Normal"/>
        <w:bidi w:val="0"/>
        <w:jc w:val="start"/>
        <w:rPr/>
      </w:pPr>
      <w:r>
        <w:rPr/>
      </w:r>
    </w:p>
    <w:p>
      <w:pPr>
        <w:pStyle w:val="Normal"/>
        <w:bidi w:val="0"/>
        <w:jc w:val="start"/>
        <w:rPr/>
      </w:pPr>
      <w:r>
        <w:rPr>
          <w:b/>
        </w:rPr>
        <w:t>A Lethal Synergy with HIV:</w:t>
      </w:r>
      <w:r>
        <w:rPr/>
        <w:t xml:space="preserve"> TB is the leading cause of death among people living with HIV. Because HIV weakens the immune system, people with the virus are 12 times more likely to develop active TB.</w:t>
      </w:r>
    </w:p>
    <w:p>
      <w:pPr>
        <w:pStyle w:val="Normal"/>
        <w:bidi w:val="0"/>
        <w:jc w:val="start"/>
        <w:rPr/>
      </w:pPr>
      <w:r>
        <w:rPr/>
      </w:r>
    </w:p>
    <w:p>
      <w:pPr>
        <w:pStyle w:val="Normal"/>
        <w:bidi w:val="0"/>
        <w:jc w:val="start"/>
        <w:rPr/>
      </w:pPr>
      <w:r>
        <w:rPr/>
        <w:t>TB is the leading cause of death of people with HIV and also a major contributor to antimicrobial resistance.</w:t>
      </w:r>
    </w:p>
    <w:p>
      <w:pPr>
        <w:pStyle w:val="Normal"/>
        <w:bidi w:val="0"/>
        <w:jc w:val="start"/>
        <w:rPr/>
      </w:pPr>
      <w:r>
        <w:rPr/>
      </w:r>
    </w:p>
    <w:p>
      <w:pPr>
        <w:pStyle w:val="BodyText"/>
        <w:bidi w:val="0"/>
        <w:jc w:val="start"/>
        <w:rPr/>
      </w:pPr>
      <w:r>
        <w:rPr/>
        <w:t>People infected with TB bacteria have a 5–10% lifetime risk of falling ill with TB. Those with compromised immune systems, such as people living with HIV, malnutrition or diabetes, or people who use tobacco, have a higher risk of falling ill.</w:t>
      </w:r>
    </w:p>
    <w:p>
      <w:pPr>
        <w:pStyle w:val="Normal"/>
        <w:bidi w:val="0"/>
        <w:jc w:val="start"/>
        <w:rPr/>
      </w:pPr>
      <w:r>
        <w:rPr/>
      </w:r>
    </w:p>
    <w:p>
      <w:pPr>
        <w:pStyle w:val="Normal"/>
        <w:bidi w:val="0"/>
        <w:jc w:val="start"/>
        <w:rPr/>
      </w:pPr>
      <w:r>
        <w:rPr>
          <w:b/>
        </w:rPr>
        <w:t>Economic Devastation:</w:t>
      </w:r>
      <w:r>
        <w:rPr/>
        <w:t xml:space="preserve"> TB mostly strikes adults in their most productive working years. Globally, about half of all people treated for TB face "catastrophic costs" (losing more than 20% of their household income) due to medical expenses and lost wages.</w:t>
      </w:r>
    </w:p>
    <w:p>
      <w:pPr>
        <w:pStyle w:val="Normal"/>
        <w:bidi w:val="0"/>
        <w:jc w:val="start"/>
        <w:rPr/>
      </w:pPr>
      <w:r>
        <w:rPr/>
      </w:r>
    </w:p>
    <w:p>
      <w:pPr>
        <w:pStyle w:val="Normal"/>
        <w:bidi w:val="0"/>
        <w:jc w:val="start"/>
        <w:rPr/>
      </w:pPr>
      <w:r>
        <w:rPr/>
        <w:t>Every year, 10 million people fall ill with tuberculosis (TB). Despite being a preventable and curable disease, 1.5 million people die from TB each year – making it the world’s top infectious killer.</w:t>
      </w:r>
    </w:p>
    <w:p>
      <w:pPr>
        <w:pStyle w:val="Normal"/>
        <w:bidi w:val="0"/>
        <w:jc w:val="start"/>
        <w:rPr/>
      </w:pPr>
      <w:r>
        <w:rPr/>
      </w:r>
    </w:p>
    <w:p>
      <w:pPr>
        <w:pStyle w:val="Normal"/>
        <w:bidi w:val="0"/>
        <w:jc w:val="start"/>
        <w:rPr/>
      </w:pPr>
      <w:r>
        <w:rPr/>
        <w:t>https://www.cdc.gov/global-hiv-tb/php/our-approach/combatingglobaltb.html#:~:text=Preventive%20treatment,living%20with%20HIV%20by%2080%25.</w:t>
      </w:r>
    </w:p>
    <w:p>
      <w:pPr>
        <w:pStyle w:val="Normal"/>
        <w:bidi w:val="0"/>
        <w:jc w:val="start"/>
        <w:rPr/>
      </w:pPr>
      <w:r>
        <w:rPr/>
      </w:r>
    </w:p>
    <w:p>
      <w:pPr>
        <w:pStyle w:val="Normal"/>
        <w:bidi w:val="0"/>
        <w:jc w:val="start"/>
        <w:rPr/>
      </w:pPr>
      <w:r>
        <w:rPr/>
        <w:t xml:space="preserve">About </w:t>
      </w:r>
      <w:r>
        <w:rPr/>
        <w:t>67%</w:t>
      </w:r>
      <w:r>
        <w:rPr/>
        <w:t xml:space="preserve"> of all people with TB can be found in 8 countries: Bangladesh, China, India, Indonesia, Nigeria, Pakistan, Philippines and South Africa.</w:t>
      </w:r>
    </w:p>
    <w:p>
      <w:pPr>
        <w:pStyle w:val="Normal"/>
        <w:bidi w:val="0"/>
        <w:jc w:val="start"/>
        <w:rPr/>
      </w:pPr>
      <w:r>
        <w:rPr/>
      </w:r>
    </w:p>
    <w:p>
      <w:pPr>
        <w:pStyle w:val="Normal"/>
        <w:bidi w:val="0"/>
        <w:jc w:val="start"/>
        <w:rPr/>
      </w:pPr>
      <w:r>
        <w:rPr/>
        <w:t>https://www.eatg.org/hiv-news/who-global-tb-report-2025-global-gains-in-tb-response-endangered-by-funding-challenges/#:~:text=Just%20eight%20of%20them%20accounted,%25)%20and%20Bangladesh%20(3.6%25).</w:t>
      </w:r>
    </w:p>
    <w:p>
      <w:pPr>
        <w:pStyle w:val="Normal"/>
        <w:bidi w:val="0"/>
        <w:jc w:val="start"/>
        <w:rPr/>
      </w:pPr>
      <w:r>
        <w:rPr/>
      </w:r>
    </w:p>
    <w:p>
      <w:pPr>
        <w:pStyle w:val="Normal"/>
        <w:bidi w:val="0"/>
        <w:jc w:val="start"/>
        <w:rPr/>
      </w:pPr>
      <w:r>
        <w:rPr/>
        <w:t>https://reliefweb.int/report/world/global-tuberculosis-report-2025#:~:text=However%2C%20ending%20TB%20globally%20will,was%20concentrated%20in%2030%20countries.</w:t>
      </w:r>
    </w:p>
    <w:p>
      <w:pPr>
        <w:pStyle w:val="Normal"/>
        <w:bidi w:val="0"/>
        <w:jc w:val="start"/>
        <w:rPr/>
      </w:pPr>
      <w:r>
        <w:rPr/>
      </w:r>
    </w:p>
    <w:p>
      <w:pPr>
        <w:pStyle w:val="Normal"/>
        <w:bidi w:val="0"/>
        <w:jc w:val="start"/>
        <w:rPr/>
      </w:pPr>
      <w:r>
        <w:rPr/>
        <w:t>https://www.who.int/health-topics/tuberculosis#tab=tab_1</w:t>
      </w:r>
    </w:p>
    <w:p>
      <w:pPr>
        <w:pStyle w:val="Normal"/>
        <w:bidi w:val="0"/>
        <w:jc w:val="start"/>
        <w:rPr/>
      </w:pPr>
      <w:r>
        <w:rPr/>
      </w:r>
    </w:p>
    <w:p>
      <w:pPr>
        <w:pStyle w:val="Normal"/>
        <w:bidi w:val="0"/>
        <w:jc w:val="start"/>
        <w:rPr/>
      </w:pPr>
      <w:r>
        <w:rPr/>
      </w:r>
    </w:p>
    <w:tbl>
      <w:tblPr>
        <w:tblW w:w="9638" w:type="dxa"/>
        <w:jc w:val="start"/>
        <w:tblInd w:w="0" w:type="dxa"/>
        <w:tblLayout w:type="fixed"/>
        <w:tblCellMar>
          <w:top w:w="120" w:type="dxa"/>
          <w:start w:w="180" w:type="dxa"/>
          <w:bottom w:w="120" w:type="dxa"/>
          <w:end w:w="180" w:type="dxa"/>
        </w:tblCellMar>
      </w:tblPr>
      <w:tblGrid>
        <w:gridCol w:w="2401"/>
        <w:gridCol w:w="7237"/>
      </w:tblGrid>
      <w:tr>
        <w:trPr>
          <w:tblHeader w:val="true"/>
        </w:trPr>
        <w:tc>
          <w:tcPr>
            <w:tcW w:w="240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0"/>
              <w:ind w:hanging="0" w:start="0" w:end="0"/>
              <w:jc w:val="start"/>
              <w:rPr/>
            </w:pPr>
            <w:r>
              <w:rPr>
                <w:rStyle w:val="Strong"/>
                <w:rFonts w:ascii="Google Sans Text;sans-serif" w:hAnsi="Google Sans Text;sans-serif"/>
              </w:rPr>
              <w:t>Global TB Impact (2024)</w:t>
            </w:r>
          </w:p>
        </w:tc>
        <w:tc>
          <w:tcPr>
            <w:tcW w:w="7237"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0"/>
              <w:ind w:hanging="0" w:start="0" w:end="0"/>
              <w:jc w:val="start"/>
              <w:rPr/>
            </w:pPr>
            <w:r>
              <w:rPr>
                <w:rStyle w:val="Strong"/>
                <w:rFonts w:ascii="Google Sans Text;sans-serif" w:hAnsi="Google Sans Text;sans-serif"/>
              </w:rPr>
              <w:t>The Numbers</w:t>
            </w:r>
          </w:p>
        </w:tc>
      </w:tr>
      <w:tr>
        <w:trPr/>
        <w:tc>
          <w:tcPr>
            <w:tcW w:w="240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rFonts w:ascii="Google Sans Text;sans-serif" w:hAnsi="Google Sans Text;sans-serif"/>
                <w:b/>
              </w:rPr>
            </w:pPr>
            <w:r>
              <w:rPr>
                <w:rFonts w:ascii="Google Sans Text;sans-serif" w:hAnsi="Google Sans Text;sans-serif"/>
                <w:b/>
              </w:rPr>
              <w:t>New Active Cases</w:t>
            </w:r>
          </w:p>
        </w:tc>
        <w:tc>
          <w:tcPr>
            <w:tcW w:w="7237"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rFonts w:ascii="Google Sans Text;sans-serif" w:hAnsi="Google Sans Text;sans-serif"/>
              </w:rPr>
            </w:pPr>
            <w:r>
              <w:rPr>
                <w:rFonts w:ascii="Google Sans Text;sans-serif" w:hAnsi="Google Sans Text;sans-serif"/>
                <w:b/>
              </w:rPr>
              <w:t>10.7 million</w:t>
            </w:r>
            <w:r>
              <w:rPr>
                <w:rFonts w:ascii="Google Sans Text;sans-serif" w:hAnsi="Google Sans Text;sans-serif"/>
              </w:rPr>
              <w:t xml:space="preserve"> people fell ill (5.8m men, 3.7m women, 1.2m children).</w:t>
            </w:r>
          </w:p>
        </w:tc>
      </w:tr>
      <w:tr>
        <w:trPr/>
        <w:tc>
          <w:tcPr>
            <w:tcW w:w="240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rFonts w:ascii="Google Sans Text;sans-serif" w:hAnsi="Google Sans Text;sans-serif"/>
                <w:b/>
              </w:rPr>
            </w:pPr>
            <w:r>
              <w:rPr>
                <w:rFonts w:ascii="Google Sans Text;sans-serif" w:hAnsi="Google Sans Text;sans-serif"/>
                <w:b/>
              </w:rPr>
              <w:t>Latent Infections</w:t>
            </w:r>
          </w:p>
        </w:tc>
        <w:tc>
          <w:tcPr>
            <w:tcW w:w="7237"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 xml:space="preserve">Roughly </w:t>
            </w:r>
            <w:r>
              <w:rPr>
                <w:rFonts w:ascii="Google Sans Text;sans-serif" w:hAnsi="Google Sans Text;sans-serif"/>
                <w:b/>
              </w:rPr>
              <w:t>2 billion</w:t>
            </w:r>
            <w:r>
              <w:rPr>
                <w:rFonts w:ascii="Google Sans Text;sans-serif" w:hAnsi="Google Sans Text;sans-serif"/>
              </w:rPr>
              <w:t xml:space="preserve"> people (about 1/4 of the global population) carry the dormant bacteria.</w:t>
            </w:r>
          </w:p>
        </w:tc>
      </w:tr>
      <w:tr>
        <w:trPr/>
        <w:tc>
          <w:tcPr>
            <w:tcW w:w="2401"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rFonts w:ascii="Google Sans Text;sans-serif" w:hAnsi="Google Sans Text;sans-serif"/>
                <w:b/>
              </w:rPr>
            </w:pPr>
            <w:r>
              <w:rPr>
                <w:rFonts w:ascii="Google Sans Text;sans-serif" w:hAnsi="Google Sans Text;sans-serif"/>
                <w:b/>
              </w:rPr>
              <w:t>Lifetime Risk</w:t>
            </w:r>
          </w:p>
        </w:tc>
        <w:tc>
          <w:tcPr>
            <w:tcW w:w="7237" w:type="dxa"/>
            <w:tcBorders>
              <w:top w:val="single" w:sz="2" w:space="0" w:color="C4C7C5"/>
              <w:start w:val="single" w:sz="2" w:space="0" w:color="C4C7C5"/>
              <w:bottom w:val="single" w:sz="2" w:space="0" w:color="C4C7C5"/>
              <w:end w:val="single" w:sz="2" w:space="0" w:color="C4C7C5"/>
            </w:tcBorders>
            <w:vAlign w:val="center"/>
          </w:tcPr>
          <w:p>
            <w:pPr>
              <w:pStyle w:val="TableContents"/>
              <w:bidi w:val="0"/>
              <w:spacing w:lineRule="auto" w:line="273" w:before="0" w:after="140"/>
              <w:ind w:hanging="0" w:start="0" w:end="0"/>
              <w:jc w:val="start"/>
              <w:rPr>
                <w:rFonts w:ascii="Google Sans Text;sans-serif" w:hAnsi="Google Sans Text;sans-serif"/>
              </w:rPr>
            </w:pPr>
            <w:r>
              <w:rPr>
                <w:rFonts w:ascii="Google Sans Text;sans-serif" w:hAnsi="Google Sans Text;sans-serif"/>
              </w:rPr>
              <w:t>People with latent TB have a 5–10% chance of developing active TB in their lifetime.</w:t>
            </w:r>
          </w:p>
        </w:tc>
      </w:tr>
    </w:tbl>
    <w:p>
      <w:pPr>
        <w:pStyle w:val="Normal"/>
        <w:bidi w:val="0"/>
        <w:jc w:val="start"/>
        <w:rPr/>
      </w:pPr>
      <w:r>
        <w:rPr/>
      </w:r>
    </w:p>
    <w:p>
      <w:pPr>
        <w:pStyle w:val="Normal"/>
        <w:bidi w:val="0"/>
        <w:jc w:val="start"/>
        <w:rPr/>
      </w:pPr>
      <w:r>
        <w:rPr/>
      </w:r>
    </w:p>
    <w:p>
      <w:pPr>
        <w:pStyle w:val="Heading2"/>
        <w:bidi w:val="0"/>
        <w:jc w:val="start"/>
        <w:rPr/>
      </w:pPr>
      <w:r>
        <w:rPr/>
        <w:t>https://www.who.int/news-room/fact-sheets/detail/tuberculosis#:~:text=Around%2087%25%20of%20new%20TB,%25)%20and%20Bangladesh%20(3.6%25).</w:t>
      </w:r>
    </w:p>
    <w:p>
      <w:pPr>
        <w:pStyle w:val="Heading2"/>
        <w:bidi w:val="0"/>
        <w:jc w:val="start"/>
        <w:rPr/>
      </w:pPr>
      <w:r>
        <w:rPr/>
        <w:t>Key facts</w:t>
      </w:r>
    </w:p>
    <w:p>
      <w:pPr>
        <w:pStyle w:val="BodyText"/>
        <w:numPr>
          <w:ilvl w:val="0"/>
          <w:numId w:val="1"/>
        </w:numPr>
        <w:tabs>
          <w:tab w:val="clear" w:pos="709"/>
          <w:tab w:val="left" w:pos="709" w:leader="none"/>
        </w:tabs>
        <w:bidi w:val="0"/>
        <w:spacing w:before="0" w:after="0"/>
        <w:ind w:hanging="283" w:start="709"/>
        <w:jc w:val="start"/>
        <w:rPr/>
      </w:pPr>
      <w:r>
        <w:rPr/>
        <w:t>A total of 1.23 million people died from tuberculosis (TB) in 2024 (including 150 000 among people with HIV). Globally, TB is the world’s leading cause of death from a single infectious agent and among the top 10 causes of death.</w:t>
      </w:r>
    </w:p>
    <w:p>
      <w:pPr>
        <w:pStyle w:val="BodyText"/>
        <w:numPr>
          <w:ilvl w:val="0"/>
          <w:numId w:val="1"/>
        </w:numPr>
        <w:tabs>
          <w:tab w:val="clear" w:pos="709"/>
          <w:tab w:val="left" w:pos="709" w:leader="none"/>
        </w:tabs>
        <w:bidi w:val="0"/>
        <w:spacing w:before="0" w:after="0"/>
        <w:ind w:hanging="283" w:start="709"/>
        <w:jc w:val="start"/>
        <w:rPr/>
      </w:pPr>
      <w:r>
        <w:rPr/>
        <w:t>TB was also both the leading killer of people with HIV in 2024 and a major cause of deaths related to antimicrobial resistance.</w:t>
      </w:r>
    </w:p>
    <w:p>
      <w:pPr>
        <w:pStyle w:val="BodyText"/>
        <w:numPr>
          <w:ilvl w:val="0"/>
          <w:numId w:val="1"/>
        </w:numPr>
        <w:tabs>
          <w:tab w:val="clear" w:pos="709"/>
          <w:tab w:val="left" w:pos="709" w:leader="none"/>
        </w:tabs>
        <w:bidi w:val="0"/>
        <w:spacing w:before="0" w:after="0"/>
        <w:ind w:hanging="283" w:start="709"/>
        <w:jc w:val="start"/>
        <w:rPr/>
      </w:pPr>
      <w:r>
        <w:rPr/>
        <w:t>In 2024, an estimated 10.7 million people fell ill with TB worldwide, including 5.8 million men, 3.7 million women and 1.2 million children. TB is present in all countries and age groups.</w:t>
      </w:r>
    </w:p>
    <w:p>
      <w:pPr>
        <w:pStyle w:val="BodyText"/>
        <w:numPr>
          <w:ilvl w:val="0"/>
          <w:numId w:val="1"/>
        </w:numPr>
        <w:tabs>
          <w:tab w:val="clear" w:pos="709"/>
          <w:tab w:val="left" w:pos="709" w:leader="none"/>
        </w:tabs>
        <w:bidi w:val="0"/>
        <w:spacing w:before="0" w:after="0"/>
        <w:ind w:hanging="283" w:start="709"/>
        <w:jc w:val="start"/>
        <w:rPr/>
      </w:pPr>
      <w:r>
        <w:rPr/>
        <w:t>Multidrug-resistant TB (MDR-TB) remains a public health crisis and a health security threat. Only about 2 in 5 people with drug-resistant TB accessed treatment in 2024.</w:t>
      </w:r>
    </w:p>
    <w:p>
      <w:pPr>
        <w:pStyle w:val="BodyText"/>
        <w:numPr>
          <w:ilvl w:val="0"/>
          <w:numId w:val="1"/>
        </w:numPr>
        <w:tabs>
          <w:tab w:val="clear" w:pos="709"/>
          <w:tab w:val="left" w:pos="709" w:leader="none"/>
        </w:tabs>
        <w:bidi w:val="0"/>
        <w:spacing w:before="0" w:after="0"/>
        <w:ind w:hanging="283" w:start="709"/>
        <w:jc w:val="start"/>
        <w:rPr/>
      </w:pPr>
      <w:r>
        <w:rPr/>
        <w:t>Global efforts to combat TB have saved an estimated 83 million lives since the year 2000.</w:t>
      </w:r>
    </w:p>
    <w:p>
      <w:pPr>
        <w:pStyle w:val="BodyText"/>
        <w:numPr>
          <w:ilvl w:val="0"/>
          <w:numId w:val="1"/>
        </w:numPr>
        <w:tabs>
          <w:tab w:val="clear" w:pos="709"/>
          <w:tab w:val="left" w:pos="709" w:leader="none"/>
        </w:tabs>
        <w:bidi w:val="0"/>
        <w:ind w:hanging="283" w:start="709"/>
        <w:jc w:val="start"/>
        <w:rPr/>
      </w:pPr>
      <w:r>
        <w:rPr/>
        <w:t>TB is preventable and curable.</w:t>
      </w:r>
    </w:p>
    <w:p>
      <w:pPr>
        <w:pStyle w:val="Normal"/>
        <w:bidi w:val="0"/>
        <w:jc w:val="start"/>
        <w:rPr/>
      </w:pPr>
      <w:r>
        <w:rPr/>
      </w:r>
    </w:p>
    <w:p>
      <w:pPr>
        <w:pStyle w:val="BodyText"/>
        <w:bidi w:val="0"/>
        <w:jc w:val="start"/>
        <w:rPr/>
      </w:pPr>
      <w:r>
        <w:rPr/>
        <w:t>TB mostly affects adults in their most productive years. However, all age groups are at risk. Over 80% of cases and deaths are in low- and middle-income countries.</w:t>
      </w:r>
    </w:p>
    <w:p>
      <w:pPr>
        <w:pStyle w:val="BodyText"/>
        <w:bidi w:val="0"/>
        <w:jc w:val="start"/>
        <w:rPr/>
      </w:pPr>
      <w:r>
        <w:rPr/>
        <w:t>TB occurs in every part of the world. In 2024, the largest number of new TB cases occurred in the WHO South-East Asia Region (34%), followed by the Western Pacific Region (27%) and the African Region (25%). Around 87% of new TB cases occurred in the 30 high TB burden countries, with two-thirds of the global total in India (25%), Indonesia (10%), the Philippines (6.8%), China (6.5%), Pakistan (6.3%), Nigeria (4.8%), the Democratic Republic of the Congo (3.9%) and Bangladesh (3.6%). The top five countries accounted for 55% of the global total.</w:t>
      </w:r>
    </w:p>
    <w:p>
      <w:pPr>
        <w:pStyle w:val="BodyText"/>
        <w:bidi w:val="0"/>
        <w:jc w:val="start"/>
        <w:rPr/>
      </w:pPr>
      <w:r>
        <w:rPr/>
        <w:t>Globally, about 50% of people treated for TB and their households face total costs (direct medical expenditures, non-medical expenditures and indirect costs such as income losses) that are catastrophic (&gt;20% of total household income). This is far from the target of the WHO End TB Strategy of zero. Those with compromised immune systems, such as people living with HIV, undernutrition or diabetes, or people who use tobacco have a higher risk of falling ill. Globally in 2024, there were an estimated 0.97 million new TB cases that were attributable to undernutrition, 0.93 million to diabetes, 0.74 million to alcohol use disorders, 0.70 million to smoking and 0.57 million to HIV infection.</w:t>
      </w:r>
    </w:p>
    <w:p>
      <w:pPr>
        <w:pStyle w:val="Normal"/>
        <w:bidi w:val="0"/>
        <w:jc w:val="start"/>
        <w:rPr/>
      </w:pPr>
      <w:r>
        <w:rPr/>
        <w:t>------------------------------------------------------------------------------------------------------------------------</w:t>
      </w:r>
    </w:p>
    <w:p>
      <w:pPr>
        <w:pStyle w:val="Normal"/>
        <w:bidi w:val="0"/>
        <w:jc w:val="start"/>
        <w:rPr/>
      </w:pPr>
      <w:r>
        <w:rPr/>
      </w:r>
    </w:p>
    <w:p>
      <w:pPr>
        <w:pStyle w:val="Normal"/>
        <w:bidi w:val="0"/>
        <w:jc w:val="start"/>
        <w:rPr/>
      </w:pPr>
      <w:r>
        <w:rPr/>
        <w:t>How is TB detected ?</w:t>
      </w:r>
    </w:p>
    <w:p>
      <w:pPr>
        <w:pStyle w:val="Normal"/>
        <w:bidi w:val="0"/>
        <w:jc w:val="start"/>
        <w:rPr/>
      </w:pPr>
      <w:r>
        <w:rPr/>
      </w:r>
    </w:p>
    <w:p>
      <w:pPr>
        <w:pStyle w:val="Normal"/>
        <w:bidi w:val="0"/>
        <w:jc w:val="start"/>
        <w:rPr/>
      </w:pPr>
      <w:r>
        <w:rPr/>
        <w:t xml:space="preserve">There is Latent TB detection vs Active TB detection. </w:t>
        <w:br/>
        <w:br/>
      </w:r>
      <w:r>
        <w:rPr/>
        <w:t xml:space="preserve">Roughly 2 billion people carry latent TB, but only 5% to 10% develop to the active disease. </w:t>
      </w:r>
      <w:r>
        <w:rPr/>
        <w:t>Treating the entire infected population means giving drugs to 1.8 billion people who would never have gotten sick in the first place.</w:t>
      </w:r>
    </w:p>
    <w:p>
      <w:pPr>
        <w:pStyle w:val="Normal"/>
        <w:bidi w:val="0"/>
        <w:jc w:val="start"/>
        <w:rPr/>
      </w:pPr>
      <w:r>
        <w:rPr/>
      </w:r>
    </w:p>
    <w:p>
      <w:pPr>
        <w:pStyle w:val="Normal"/>
        <w:bidi w:val="0"/>
        <w:jc w:val="start"/>
        <w:rPr/>
      </w:pPr>
      <w:r>
        <w:rPr>
          <w:b/>
        </w:rPr>
        <w:t>Hepatotoxicity (Liver Damage):</w:t>
      </w:r>
      <w:r>
        <w:rPr/>
        <w:t xml:space="preserve"> The primary antibiotics used to terminate latent TB (like Isoniazid and Rifampin) are harsh. They carry a significant risk of drug-induced liver injury. Administering these globally would cause millions of cases of severe liver damage, far outweighing the preventive benefits.</w:t>
      </w:r>
    </w:p>
    <w:p>
      <w:pPr>
        <w:pStyle w:val="Normal"/>
        <w:bidi w:val="0"/>
        <w:jc w:val="start"/>
        <w:rPr/>
      </w:pPr>
      <w:r>
        <w:rPr/>
      </w:r>
    </w:p>
    <w:p>
      <w:pPr>
        <w:pStyle w:val="Normal"/>
        <w:bidi w:val="0"/>
        <w:jc w:val="start"/>
        <w:rPr/>
      </w:pPr>
      <w:r>
        <w:fldChar w:fldCharType="begin"/>
      </w:r>
      <w:r>
        <w:rPr>
          <w:rStyle w:val="Hyperlink"/>
        </w:rPr>
        <w:instrText xml:space="preserve"> HYPERLINK "https://pmc.ncbi.nlm.nih.gov/articles/PMC7043866/" \l ":~:text=Isoniazid%20monotherapy%20for%206%E2%80%9312,22%2C23"</w:instrText>
      </w:r>
      <w:r>
        <w:rPr>
          <w:rStyle w:val="Hyperlink"/>
        </w:rPr>
        <w:fldChar w:fldCharType="separate"/>
      </w:r>
      <w:hyperlink r:id="rId2">
        <w:r>
          <w:rPr>
            <w:rStyle w:val="Hyperlink"/>
          </w:rPr>
          <w:t>https://pmc.ncbi.nlm.nih.gov/articles/PMC7043866/#:~:text=Isoniazid%20monotherapy%20for%206%E2%80%9312,22%2C23</w:t>
        </w:r>
      </w:hyperlink>
      <w:r>
        <w:rPr>
          <w:rStyle w:val="Hyperlink"/>
        </w:rPr>
        <w:fldChar w:fldCharType="end"/>
      </w:r>
    </w:p>
    <w:p>
      <w:pPr>
        <w:pStyle w:val="Normal"/>
        <w:bidi w:val="0"/>
        <w:jc w:val="start"/>
        <w:rPr/>
      </w:pPr>
      <w:r>
        <w:rPr/>
      </w:r>
    </w:p>
    <w:p>
      <w:pPr>
        <w:pStyle w:val="Normal"/>
        <w:bidi w:val="0"/>
        <w:jc w:val="start"/>
        <w:rPr/>
      </w:pPr>
      <w:r>
        <w:rPr>
          <w:b/>
        </w:rPr>
        <w:t>The Adherence and Resistance Threat:</w:t>
      </w:r>
      <w:r>
        <w:rPr/>
        <w:t xml:space="preserve"> LTBI treatment takes anywhere from 3 to 9 months. Human psychology dictates that patients who feel perfectly healthy rarely complete long, toxic drug regimens. Widespread partial treatment would rapidly breed multidrug-resistant TB (MDR-TB), creating a far deadlier global crisis.</w:t>
      </w:r>
    </w:p>
    <w:p>
      <w:pPr>
        <w:pStyle w:val="Normal"/>
        <w:bidi w:val="0"/>
        <w:jc w:val="start"/>
        <w:rPr/>
      </w:pPr>
      <w:r>
        <w:rPr/>
      </w:r>
    </w:p>
    <w:p>
      <w:pPr>
        <w:pStyle w:val="Normal"/>
        <w:bidi w:val="0"/>
        <w:jc w:val="start"/>
        <w:rPr/>
      </w:pPr>
      <w:r>
        <w:rPr/>
        <w:t>Because of these factors, the WHO and CDC only recommend terminating latent TB in high-risk groups whose immune systems are compromised (such as people living with HIV, organ transplant recipients) or those who have had recent close contact with an active TB patient.</w:t>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r>
    </w:p>
    <w:p>
      <w:pPr>
        <w:pStyle w:val="Normal"/>
        <w:bidi w:val="0"/>
        <w:jc w:val="start"/>
        <w:rPr/>
      </w:pPr>
      <w:r>
        <w:rPr/>
        <w:t xml:space="preserve">Detecting Latent TB: </w:t>
        <w:br/>
        <w:br/>
      </w:r>
      <w:r>
        <w:rPr>
          <w:b/>
        </w:rPr>
        <w:t>IGRA (Interferon-Gamma Release Assay):</w:t>
      </w:r>
      <w:r>
        <w:rPr/>
        <w:t xml:space="preserve"> This is the modern standard blood test. It mixes the patient's blood with synthetic TB proteins. If the patient's immune white blood cells have battled TB before, they will rapidly release a chemical called interferon-gamma, which the assay detects. It has high specificity and does not trigger false positives from previous TB vaccinations.</w:t>
      </w:r>
    </w:p>
    <w:p>
      <w:pPr>
        <w:pStyle w:val="Normal"/>
        <w:bidi w:val="0"/>
        <w:jc w:val="start"/>
        <w:rPr/>
      </w:pPr>
      <w:r>
        <w:rPr/>
      </w:r>
    </w:p>
    <w:p>
      <w:pPr>
        <w:pStyle w:val="Normal"/>
        <w:bidi w:val="0"/>
        <w:jc w:val="start"/>
        <w:rPr/>
      </w:pPr>
      <w:hyperlink r:id="rId4">
        <w:r>
          <w:rPr>
            <w:rStyle w:val="Hyperlink"/>
          </w:rPr>
          <w:t>https://www.cdc.gov/tb/hcp/clinical-overview/latent-tuberculosis-infection.html</w:t>
        </w:r>
      </w:hyperlink>
    </w:p>
    <w:p>
      <w:pPr>
        <w:pStyle w:val="Normal"/>
        <w:bidi w:val="0"/>
        <w:jc w:val="start"/>
        <w:rPr/>
      </w:pPr>
      <w:r>
        <w:rPr/>
      </w:r>
    </w:p>
    <w:p>
      <w:pPr>
        <w:pStyle w:val="Normal"/>
        <w:bidi w:val="0"/>
        <w:jc w:val="start"/>
        <w:rPr/>
      </w:pPr>
      <w:r>
        <w:rPr>
          <w:b/>
        </w:rPr>
        <w:t>TST (Tuberculin Skin Test / Mantoux):</w:t>
      </w:r>
      <w:r>
        <w:rPr/>
        <w:t xml:space="preserve"> A small amount of TB protein is injected just under the skin of the arm. If the body recognizes it, a hard, raised bump forms after 48-72 hours. It is cheaper but less accurate than the IGRA, as it often produces false positives in people who received the BCG (TB) vaccine as children.</w:t>
      </w:r>
    </w:p>
    <w:p>
      <w:pPr>
        <w:pStyle w:val="Normal"/>
        <w:bidi w:val="0"/>
        <w:jc w:val="start"/>
        <w:rPr/>
      </w:pPr>
      <w:r>
        <w:rPr/>
      </w:r>
    </w:p>
    <w:p>
      <w:pPr>
        <w:pStyle w:val="Normal"/>
        <w:bidi w:val="0"/>
        <w:jc w:val="start"/>
        <w:rPr/>
      </w:pPr>
      <w:r>
        <w:rPr/>
        <w:t>Detecting Active TB:</w:t>
      </w:r>
    </w:p>
    <w:p>
      <w:pPr>
        <w:pStyle w:val="Normal"/>
        <w:bidi w:val="0"/>
        <w:jc w:val="start"/>
        <w:rPr/>
      </w:pPr>
      <w:r>
        <w:rPr/>
      </w:r>
    </w:p>
    <w:p>
      <w:pPr>
        <w:pStyle w:val="Normal"/>
        <w:bidi w:val="0"/>
        <w:jc w:val="start"/>
        <w:rPr/>
      </w:pPr>
      <w:r>
        <w:rPr>
          <w:b/>
        </w:rPr>
        <w:t>Rapid Molecular Assays (e.g., GeneXpert):</w:t>
      </w:r>
      <w:r>
        <w:rPr/>
        <w:t xml:space="preserve"> This is the modern frontline diagnostic tool. A patient provides a sputum (phlegm) sample, and an automated PCR test amplifies and detects the specific DNA of </w:t>
      </w:r>
      <w:r>
        <w:rPr>
          <w:i/>
        </w:rPr>
        <w:t>Mycobacterium tuberculosis</w:t>
      </w:r>
      <w:r>
        <w:rPr/>
        <w:t>. Crucially, it simultaneously detects genetic mutations that indicate resistance to Rifampicin (a core TB drug) in under two hours.</w:t>
      </w:r>
    </w:p>
    <w:p>
      <w:pPr>
        <w:pStyle w:val="Normal"/>
        <w:bidi w:val="0"/>
        <w:jc w:val="start"/>
        <w:rPr/>
      </w:pPr>
      <w:r>
        <w:rPr/>
      </w:r>
    </w:p>
    <w:p>
      <w:pPr>
        <w:pStyle w:val="Normal"/>
        <w:bidi w:val="0"/>
        <w:jc w:val="start"/>
        <w:rPr/>
      </w:pPr>
      <w:hyperlink r:id="rId6">
        <w:r>
          <w:rPr>
            <w:rStyle w:val="Hyperlink"/>
          </w:rPr>
          <w:t>https://pmc.ncbi.nlm.nih.gov/articles/PMC5556276/</w:t>
        </w:r>
      </w:hyperlink>
    </w:p>
    <w:p>
      <w:pPr>
        <w:pStyle w:val="Normal"/>
        <w:bidi w:val="0"/>
        <w:jc w:val="start"/>
        <w:rPr/>
      </w:pPr>
      <w:r>
        <w:rPr/>
      </w:r>
    </w:p>
    <w:p>
      <w:pPr>
        <w:pStyle w:val="Normal"/>
        <w:bidi w:val="0"/>
        <w:jc w:val="start"/>
        <w:rPr/>
      </w:pPr>
      <w:r>
        <w:rPr>
          <w:b/>
        </w:rPr>
        <w:t>Sputum Smear Microscopy:</w:t>
      </w:r>
      <w:r>
        <w:rPr/>
        <w:t xml:space="preserve"> A century-old but still widely used method in low-resource settings. Sputum is stained with special dyes and examined under a microscope for "acid-fast bacilli" (the physical bacteria). It is cheap but suffers from low sensitivity.</w:t>
      </w:r>
    </w:p>
    <w:p>
      <w:pPr>
        <w:pStyle w:val="Normal"/>
        <w:bidi w:val="0"/>
        <w:jc w:val="start"/>
        <w:rPr/>
      </w:pPr>
      <w:r>
        <w:rPr/>
      </w:r>
    </w:p>
    <w:p>
      <w:pPr>
        <w:pStyle w:val="Normal"/>
        <w:bidi w:val="0"/>
        <w:jc w:val="start"/>
        <w:rPr/>
      </w:pPr>
      <w:hyperlink r:id="rId8">
        <w:r>
          <w:rPr>
            <w:rStyle w:val="Hyperlink"/>
          </w:rPr>
          <w:t>https://www.aafp.org/about/news/20200219ltbiguidelines</w:t>
        </w:r>
      </w:hyperlink>
    </w:p>
    <w:p>
      <w:pPr>
        <w:pStyle w:val="Normal"/>
        <w:bidi w:val="0"/>
        <w:jc w:val="start"/>
        <w:rPr/>
      </w:pPr>
      <w:r>
        <w:rPr/>
      </w:r>
    </w:p>
    <w:p>
      <w:pPr>
        <w:pStyle w:val="Normal"/>
        <w:bidi w:val="0"/>
        <w:jc w:val="start"/>
        <w:rPr/>
      </w:pPr>
      <w:r>
        <w:rPr>
          <w:b/>
        </w:rPr>
        <w:t>Mycobacterial Culture:</w:t>
      </w:r>
      <w:r>
        <w:rPr/>
        <w:t xml:space="preserve"> The gold standard for confirmation. The sputum is placed in a nutrient-rich environment to see if the bacteria grow. It is highly accurate and allows for comprehensive drug-susceptibility testing, but because TB bacteria replicate very slowly, results can take 2 to 6 weeks.</w:t>
      </w:r>
    </w:p>
    <w:p>
      <w:pPr>
        <w:pStyle w:val="Normal"/>
        <w:bidi w:val="0"/>
        <w:jc w:val="start"/>
        <w:rPr/>
      </w:pPr>
      <w:r>
        <w:rPr/>
      </w:r>
    </w:p>
    <w:p>
      <w:pPr>
        <w:pStyle w:val="Normal"/>
        <w:bidi w:val="0"/>
        <w:jc w:val="start"/>
        <w:rPr/>
      </w:pPr>
      <w:r>
        <w:rPr>
          <w:b/>
        </w:rPr>
        <w:t>Radiology (Chest X-ray):</w:t>
      </w:r>
      <w:r>
        <w:rPr/>
        <w:t xml:space="preserve"> Used to identify the structural damage, cavities, and fluid build-up in the lungs caused by the active infection.</w:t>
      </w:r>
    </w:p>
    <w:p>
      <w:pPr>
        <w:pStyle w:val="Normal"/>
        <w:bidi w:val="0"/>
        <w:jc w:val="start"/>
        <w:rPr/>
      </w:pPr>
      <w:r>
        <w:rPr/>
      </w:r>
    </w:p>
    <w:p>
      <w:pPr>
        <w:pStyle w:val="Normal"/>
        <w:bidi w:val="0"/>
        <w:jc w:val="start"/>
        <w:rPr/>
      </w:pPr>
      <w:r>
        <w:rPr/>
        <w:t xml:space="preserve">Do refer to the active_tb_detection_methods markdown. </w:t>
      </w:r>
    </w:p>
    <w:p>
      <w:pPr>
        <w:pStyle w:val="Normal"/>
        <w:bidi w:val="0"/>
        <w:jc w:val="start"/>
        <w:rPr/>
      </w:pPr>
      <w:r>
        <w:rPr/>
      </w:r>
    </w:p>
    <w:p>
      <w:pPr>
        <w:pStyle w:val="Normal"/>
        <w:bidi w:val="0"/>
        <w:jc w:val="start"/>
        <w:rPr/>
      </w:pPr>
      <w:r>
        <w:rPr/>
        <w:t xml:space="preserve">Guidelines for CAD and AI screening. </w:t>
      </w:r>
    </w:p>
    <w:p>
      <w:pPr>
        <w:pStyle w:val="Normal"/>
        <w:bidi w:val="0"/>
        <w:jc w:val="start"/>
        <w:rPr/>
      </w:pPr>
      <w:r>
        <w:rPr/>
      </w:r>
    </w:p>
    <w:p>
      <w:pPr>
        <w:pStyle w:val="Normal"/>
        <w:bidi w:val="0"/>
        <w:jc w:val="start"/>
        <w:rPr/>
      </w:pPr>
      <w:r>
        <w:fldChar w:fldCharType="begin"/>
      </w:r>
      <w:r>
        <w:rPr>
          <w:rStyle w:val="Hyperlink"/>
        </w:rPr>
        <w:instrText xml:space="preserve"> HYPERLINK "https://www.who.int/publications/i/item/9789240022676" \l ":~:text=The%20new%20guidance%20also%20recommends,%2C%20and%20C%2Dreactive%20protein"</w:instrText>
      </w:r>
      <w:r>
        <w:rPr>
          <w:rStyle w:val="Hyperlink"/>
        </w:rPr>
        <w:fldChar w:fldCharType="separate"/>
      </w:r>
      <w:r>
        <w:rPr>
          <w:rStyle w:val="Hyperlink"/>
        </w:rPr>
        <w:t>https://www.who.int/publications/i/item/9789240022676#:~:text=The%20new%20guidance%20also%20recommends,%2C%20and%20C%2Dreactive%20protein</w:t>
      </w:r>
      <w:r>
        <w:rPr>
          <w:rStyle w:val="Hyperlink"/>
        </w:rPr>
        <w:fldChar w:fldCharType="end"/>
      </w:r>
      <w:hyperlink r:id="rId9">
        <w:r>
          <w:rPr/>
          <w:t>.</w:t>
        </w:r>
      </w:hyperlink>
    </w:p>
    <w:p>
      <w:pPr>
        <w:pStyle w:val="Normal"/>
        <w:bidi w:val="0"/>
        <w:jc w:val="start"/>
        <w:rPr/>
      </w:pPr>
      <w:r>
        <w:rPr/>
      </w:r>
    </w:p>
    <w:p>
      <w:pPr>
        <w:pStyle w:val="Normal"/>
        <w:bidi w:val="0"/>
        <w:jc w:val="start"/>
        <w:rPr/>
      </w:pPr>
      <w:hyperlink r:id="rId11">
        <w:r>
          <w:rPr>
            <w:rStyle w:val="Hyperlink"/>
          </w:rPr>
          <w:t>https://www.who.int/publications/i/item/9789240022676</w:t>
        </w:r>
      </w:hyperlink>
    </w:p>
    <w:p>
      <w:pPr>
        <w:pStyle w:val="Normal"/>
        <w:bidi w:val="0"/>
        <w:jc w:val="start"/>
        <w:rPr/>
      </w:pPr>
      <w:r>
        <w:rPr/>
      </w:r>
    </w:p>
    <w:p>
      <w:pPr>
        <w:pStyle w:val="Normal"/>
        <w:bidi w:val="0"/>
        <w:jc w:val="start"/>
        <w:rPr/>
      </w:pPr>
      <w:hyperlink r:id="rId13">
        <w:r>
          <w:rPr>
            <w:rStyle w:val="Hyperlink"/>
          </w:rPr>
          <w:t>https://www.ncbi.nlm.nih.gov/books/NBK569341/</w:t>
        </w:r>
      </w:hyperlink>
    </w:p>
    <w:p>
      <w:pPr>
        <w:pStyle w:val="Normal"/>
        <w:bidi w:val="0"/>
        <w:jc w:val="start"/>
        <w:rPr/>
      </w:pPr>
      <w:r>
        <w:rPr/>
      </w:r>
    </w:p>
    <w:p>
      <w:pPr>
        <w:pStyle w:val="Normal"/>
        <w:bidi w:val="0"/>
        <w:jc w:val="start"/>
        <w:rPr/>
      </w:pPr>
      <w:r>
        <w:rPr/>
        <w:t xml:space="preserve">these three carry similar info. </w:t>
      </w:r>
    </w:p>
    <w:p>
      <w:pPr>
        <w:pStyle w:val="Normal"/>
        <w:bidi w:val="0"/>
        <w:jc w:val="start"/>
        <w:rPr/>
      </w:pPr>
      <w:r>
        <w:rPr/>
      </w:r>
    </w:p>
    <w:p>
      <w:pPr>
        <w:pStyle w:val="BodyText"/>
        <w:bidi w:val="0"/>
        <w:jc w:val="start"/>
        <w:rPr/>
      </w:pPr>
      <w:r>
        <w:rPr/>
        <w:t xml:space="preserve">Because chest X-rays are incredibly fast and relatively inexpensive to perform at scale, they act as the perfect </w:t>
      </w:r>
      <w:r>
        <w:rPr>
          <w:b/>
        </w:rPr>
        <w:t>frontline filter</w:t>
      </w:r>
      <w:r>
        <w:rPr/>
        <w:t>.</w:t>
      </w:r>
    </w:p>
    <w:p>
      <w:pPr>
        <w:pStyle w:val="BodyText"/>
        <w:bidi w:val="0"/>
        <w:jc w:val="start"/>
        <w:rPr/>
      </w:pPr>
      <w:r>
        <w:rPr/>
        <w:t>If healthcare systems in high-burden countries had to run a $15-$20 GeneXpert molecular lab test on every single person who walked into a clinic with a bad cough, those systems would instantly collapse under the cost and backlog.</w:t>
      </w:r>
    </w:p>
    <w:p>
      <w:pPr>
        <w:pStyle w:val="BodyText"/>
        <w:bidi w:val="0"/>
        <w:jc w:val="start"/>
        <w:rPr/>
      </w:pPr>
      <w:r>
        <w:rPr/>
        <w:t xml:space="preserve">By developing highly accurate AI and CAD (Computer-Aided Detection) software for X-rays, clinics can instantly screen thousands of people. The AI acts as a smart net—it safely sends home the people with clear lungs and saves the expensive, time-consuming laboratory resources </w:t>
      </w:r>
      <w:r>
        <w:rPr>
          <w:i/>
        </w:rPr>
        <w:t>only</w:t>
      </w:r>
      <w:r>
        <w:rPr/>
        <w:t xml:space="preserve"> for the people whose X-rays are flagged as high-risk.</w:t>
      </w:r>
    </w:p>
    <w:p>
      <w:pPr>
        <w:pStyle w:val="Normal"/>
        <w:bidi w:val="0"/>
        <w:jc w:val="start"/>
        <w:rPr/>
      </w:pPr>
      <w:r>
        <w:rPr/>
        <w:t xml:space="preserve">These become the perfect frontline filter. </w:t>
      </w:r>
    </w:p>
    <w:sectPr>
      <w:type w:val="nextPage"/>
      <w:pgSz w:w="11906" w:h="16838"/>
      <w:pgMar w:left="1134" w:right="1134" w:gutter="0" w:header="0" w:top="1134" w:footer="0" w:bottom="1134"/>
      <w:pgNumType w:fmt="decimal"/>
      <w:formProt w:val="false"/>
      <w:textDirection w:val="lrTb"/>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OpenSymbol">
    <w:altName w:val="Arial Unicode MS"/>
    <w:charset w:val="02"/>
    <w:family w:val="auto"/>
    <w:pitch w:val="default"/>
  </w:font>
  <w:font w:name="Liberation Sans">
    <w:altName w:val="Arial"/>
    <w:charset w:val="01" w:characterSet="utf-8"/>
    <w:family w:val="swiss"/>
    <w:pitch w:val="variable"/>
  </w:font>
  <w:font w:name="Google Sans Text">
    <w:altName w:val="sans-serif"/>
    <w:charset w:val="01" w:characterSet="utf-8"/>
    <w:family w:val="auto"/>
    <w:pitch w:val="default"/>
  </w:font>
  <w:font w:name="Symbol">
    <w:charset w:val="02"/>
    <w:family w:val="auto"/>
    <w:pitch w:val="default"/>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start"/>
      <w:pPr>
        <w:tabs>
          <w:tab w:val="num" w:pos="709"/>
        </w:tabs>
        <w:ind w:start="709" w:hanging="283"/>
      </w:pPr>
      <w:rPr>
        <w:rFonts w:ascii="Symbol" w:hAnsi="Symbol" w:cs="Symbol" w:hint="default"/>
      </w:rPr>
    </w:lvl>
    <w:lvl w:ilvl="1">
      <w:start w:val="1"/>
      <w:numFmt w:val="bullet"/>
      <w:lvlText w:val=""/>
      <w:lvlJc w:val="start"/>
      <w:pPr>
        <w:tabs>
          <w:tab w:val="num" w:pos="1418"/>
        </w:tabs>
        <w:ind w:start="1418" w:hanging="283"/>
      </w:pPr>
      <w:rPr>
        <w:rFonts w:ascii="Symbol" w:hAnsi="Symbol" w:cs="Symbol" w:hint="default"/>
      </w:rPr>
    </w:lvl>
    <w:lvl w:ilvl="2">
      <w:start w:val="1"/>
      <w:numFmt w:val="bullet"/>
      <w:lvlText w:val=""/>
      <w:lvlJc w:val="start"/>
      <w:pPr>
        <w:tabs>
          <w:tab w:val="num" w:pos="2127"/>
        </w:tabs>
        <w:ind w:start="2127" w:hanging="283"/>
      </w:pPr>
      <w:rPr>
        <w:rFonts w:ascii="Symbol" w:hAnsi="Symbol" w:cs="Symbol" w:hint="default"/>
      </w:rPr>
    </w:lvl>
    <w:lvl w:ilvl="3">
      <w:start w:val="1"/>
      <w:numFmt w:val="bullet"/>
      <w:lvlText w:val=""/>
      <w:lvlJc w:val="start"/>
      <w:pPr>
        <w:tabs>
          <w:tab w:val="num" w:pos="2836"/>
        </w:tabs>
        <w:ind w:start="2836" w:hanging="283"/>
      </w:pPr>
      <w:rPr>
        <w:rFonts w:ascii="Symbol" w:hAnsi="Symbol" w:cs="Symbol" w:hint="default"/>
      </w:rPr>
    </w:lvl>
    <w:lvl w:ilvl="4">
      <w:start w:val="1"/>
      <w:numFmt w:val="bullet"/>
      <w:lvlText w:val=""/>
      <w:lvlJc w:val="start"/>
      <w:pPr>
        <w:tabs>
          <w:tab w:val="num" w:pos="3545"/>
        </w:tabs>
        <w:ind w:start="3545" w:hanging="283"/>
      </w:pPr>
      <w:rPr>
        <w:rFonts w:ascii="Symbol" w:hAnsi="Symbol" w:cs="Symbol" w:hint="default"/>
      </w:rPr>
    </w:lvl>
    <w:lvl w:ilvl="5">
      <w:start w:val="1"/>
      <w:numFmt w:val="bullet"/>
      <w:lvlText w:val=""/>
      <w:lvlJc w:val="start"/>
      <w:pPr>
        <w:tabs>
          <w:tab w:val="num" w:pos="4254"/>
        </w:tabs>
        <w:ind w:start="4254" w:hanging="283"/>
      </w:pPr>
      <w:rPr>
        <w:rFonts w:ascii="Symbol" w:hAnsi="Symbol" w:cs="Symbol" w:hint="default"/>
      </w:rPr>
    </w:lvl>
    <w:lvl w:ilvl="6">
      <w:start w:val="1"/>
      <w:numFmt w:val="bullet"/>
      <w:lvlText w:val=""/>
      <w:lvlJc w:val="start"/>
      <w:pPr>
        <w:tabs>
          <w:tab w:val="num" w:pos="4963"/>
        </w:tabs>
        <w:ind w:start="4963" w:hanging="283"/>
      </w:pPr>
      <w:rPr>
        <w:rFonts w:ascii="Symbol" w:hAnsi="Symbol" w:cs="Symbol" w:hint="default"/>
      </w:rPr>
    </w:lvl>
    <w:lvl w:ilvl="7">
      <w:start w:val="1"/>
      <w:numFmt w:val="bullet"/>
      <w:lvlText w:val=""/>
      <w:lvlJc w:val="start"/>
      <w:pPr>
        <w:tabs>
          <w:tab w:val="num" w:pos="5672"/>
        </w:tabs>
        <w:ind w:start="5672" w:hanging="283"/>
      </w:pPr>
      <w:rPr>
        <w:rFonts w:ascii="Symbol" w:hAnsi="Symbol" w:cs="Symbol" w:hint="default"/>
      </w:rPr>
    </w:lvl>
    <w:lvl w:ilvl="8">
      <w:start w:val="1"/>
      <w:numFmt w:val="bullet"/>
      <w:lvlText w:val=""/>
      <w:lvlJc w:val="start"/>
      <w:pPr>
        <w:tabs>
          <w:tab w:val="num" w:pos="6381"/>
        </w:tabs>
        <w:ind w:start="6381" w:hanging="283"/>
      </w:pPr>
      <w:rPr>
        <w:rFonts w:ascii="Symbol" w:hAnsi="Symbol" w:cs="Symbol" w:hint="default"/>
      </w:rPr>
    </w:lvl>
  </w:abstractNum>
  <w:abstractNum w:abstractNumId="2">
    <w:lvl w:ilvl="0">
      <w:start w:val="1"/>
      <w:numFmt w:val="none"/>
      <w:suff w:val="nothing"/>
      <w:lvlText w:val=""/>
      <w:lvlJc w:val="start"/>
      <w:pPr>
        <w:tabs>
          <w:tab w:val="num" w:pos="0"/>
        </w:tabs>
        <w:ind w:start="0" w:hanging="0"/>
      </w:pPr>
    </w:lvl>
    <w:lvl w:ilvl="1">
      <w:start w:val="1"/>
      <w:pStyle w:val="Heading2"/>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bering>
</file>

<file path=word/settings.xml><?xml version="1.0" encoding="utf-8"?>
<w:settings xmlns:w="http://schemas.openxmlformats.org/wordprocessingml/2006/main">
  <w:zoom w:percent="180"/>
  <w:defaultTabStop w:val="709"/>
  <w:autoHyphenation w:val="true"/>
  <w:compat>
    <w:compatSetting w:name="compatibilityMode" w:uri="http://schemas.microsoft.com/office/word" w:val="15"/>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erif CJK SC" w:cs="Noto Sans Devanagari"/>
        <w:kern w:val="2"/>
        <w:sz w:val="24"/>
        <w:szCs w:val="24"/>
        <w:lang w:val="en-IN" w:eastAsia="zh-CN" w:bidi="hi-IN"/>
      </w:rPr>
    </w:rPrDefault>
    <w:pPrDefault>
      <w:pPr>
        <w:widowControl/>
        <w:suppressAutoHyphens w:val="true"/>
      </w:pPr>
    </w:pPrDefault>
  </w:docDefaults>
  <w:style w:type="paragraph" w:styleId="Normal">
    <w:name w:val="Normal"/>
    <w:qFormat/>
    <w:pPr>
      <w:widowControl/>
      <w:bidi w:val="0"/>
    </w:pPr>
    <w:rPr>
      <w:rFonts w:ascii="Liberation Serif" w:hAnsi="Liberation Serif" w:eastAsia="Noto Serif CJK SC" w:cs="Noto Sans Devanagari"/>
      <w:color w:val="auto"/>
      <w:kern w:val="2"/>
      <w:sz w:val="24"/>
      <w:szCs w:val="24"/>
      <w:lang w:val="en-IN" w:eastAsia="zh-CN" w:bidi="hi-IN"/>
    </w:rPr>
  </w:style>
  <w:style w:type="paragraph" w:styleId="Heading2">
    <w:name w:val="Heading 2"/>
    <w:basedOn w:val="Heading"/>
    <w:next w:val="BodyText"/>
    <w:qFormat/>
    <w:pPr>
      <w:spacing w:before="200" w:after="120"/>
      <w:outlineLvl w:val="1"/>
    </w:pPr>
    <w:rPr>
      <w:rFonts w:ascii="Liberation Serif" w:hAnsi="Liberation Serif" w:eastAsia="Noto Serif CJK SC" w:cs="Noto Sans Devanagari"/>
      <w:b/>
      <w:bCs/>
      <w:sz w:val="36"/>
      <w:szCs w:val="36"/>
    </w:rPr>
  </w:style>
  <w:style w:type="character" w:styleId="Strong">
    <w:name w:val="Strong"/>
    <w:qFormat/>
    <w:rPr>
      <w:b/>
      <w:bCs/>
    </w:rPr>
  </w:style>
  <w:style w:type="character" w:styleId="Bullets">
    <w:name w:val="Bullets"/>
    <w:qFormat/>
    <w:rPr>
      <w:rFonts w:ascii="OpenSymbol" w:hAnsi="OpenSymbol" w:eastAsia="OpenSymbol" w:cs="OpenSymbol"/>
    </w:rPr>
  </w:style>
  <w:style w:type="character" w:styleId="Hyperlink">
    <w:name w:val="Hyperlink"/>
    <w:rPr>
      <w:color w:val="000080"/>
      <w:u w:val="single"/>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yperlink" Target="" TargetMode="External"/><Relationship Id="rId3" Type="http://schemas.openxmlformats.org/officeDocument/2006/relationships/hyperlink" Target="https://www.cdc.gov/tb/hcp/clinical-overview/latent-tuberculosis-infection.html" TargetMode="External"/><Relationship Id="rId4" Type="http://schemas.openxmlformats.org/officeDocument/2006/relationships/hyperlink" Target="" TargetMode="External"/><Relationship Id="rId5" Type="http://schemas.openxmlformats.org/officeDocument/2006/relationships/hyperlink" Target="https://pmc.ncbi.nlm.nih.gov/articles/PMC5556276/" TargetMode="External"/><Relationship Id="rId6" Type="http://schemas.openxmlformats.org/officeDocument/2006/relationships/hyperlink" Target="" TargetMode="External"/><Relationship Id="rId7" Type="http://schemas.openxmlformats.org/officeDocument/2006/relationships/hyperlink" Target="https://www.aafp.org/about/news/20200219ltbiguidelines" TargetMode="External"/><Relationship Id="rId8" Type="http://schemas.openxmlformats.org/officeDocument/2006/relationships/hyperlink" Target="" TargetMode="External"/><Relationship Id="rId9" Type="http://schemas.openxmlformats.org/officeDocument/2006/relationships/hyperlink" Target="" TargetMode="External"/><Relationship Id="rId10" Type="http://schemas.openxmlformats.org/officeDocument/2006/relationships/hyperlink" Target="https://www.who.int/publications/i/item/9789240022676" TargetMode="External"/><Relationship Id="rId11" Type="http://schemas.openxmlformats.org/officeDocument/2006/relationships/hyperlink" Target="" TargetMode="External"/><Relationship Id="rId12" Type="http://schemas.openxmlformats.org/officeDocument/2006/relationships/hyperlink" Target="https://www.ncbi.nlm.nih.gov/books/NBK569341/" TargetMode="External"/><Relationship Id="rId13" Type="http://schemas.openxmlformats.org/officeDocument/2006/relationships/hyperlink" Target="" TargetMode="External"/><Relationship Id="rId14" Type="http://schemas.openxmlformats.org/officeDocument/2006/relationships/numbering" Target="numbering.xml"/><Relationship Id="rId15" Type="http://schemas.openxmlformats.org/officeDocument/2006/relationships/fontTable" Target="fontTable.xml"/><Relationship Id="rId16" Type="http://schemas.openxmlformats.org/officeDocument/2006/relationships/settings" Target="settings.xml"/><Relationship Id="rId1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12</TotalTime>
  <Application>LibreOffice/24.2.7.2$Linux_X86_64 LibreOffice_project/420$Build-2</Application>
  <AppVersion>15.0000</AppVersion>
  <Pages>5</Pages>
  <Words>1466</Words>
  <Characters>9107</Characters>
  <CharactersWithSpaces>10514</CharactersWithSpaces>
  <Paragraphs>63</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2026-06-28T12:09:52Z</dcterms:created>
  <dc:creator/>
  <dc:description/>
  <dc:language>en-IN</dc:language>
  <cp:lastModifiedBy/>
  <dcterms:modified xsi:type="dcterms:W3CDTF">2026-06-28T19:34:17Z</dcterms:modified>
  <cp:revision>1</cp:revision>
  <dc:subject/>
  <dc:title/>
</cp:coreProperties>
</file>