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2673F" w14:textId="77777777" w:rsidR="00932ED1" w:rsidRDefault="00932ED1" w:rsidP="00932ED1">
      <w:pPr>
        <w:spacing w:before="80" w:after="60"/>
        <w:jc w:val="both"/>
      </w:pPr>
      <w:r>
        <w:rPr>
          <w:b/>
          <w:bCs/>
          <w:color w:val="1F3864"/>
          <w:sz w:val="30"/>
          <w:szCs w:val="30"/>
        </w:rPr>
        <w:t>SIMATS ENGINEERING</w:t>
      </w:r>
    </w:p>
    <w:p w14:paraId="666FCED3" w14:textId="77777777" w:rsidR="00932ED1" w:rsidRDefault="00932ED1" w:rsidP="00932ED1">
      <w:pPr>
        <w:spacing w:before="80" w:after="60"/>
        <w:jc w:val="both"/>
      </w:pPr>
      <w:r>
        <w:rPr>
          <w:b/>
          <w:bCs/>
          <w:color w:val="1F3864"/>
          <w:sz w:val="22"/>
          <w:szCs w:val="22"/>
        </w:rPr>
        <w:t>SAVEETHA INSTITUTE OF MEDICAL AND TECHNICAL SCIENCES</w:t>
      </w:r>
    </w:p>
    <w:p w14:paraId="6A5E66EA" w14:textId="77777777" w:rsidR="00932ED1" w:rsidRDefault="00932ED1" w:rsidP="00932ED1">
      <w:pPr>
        <w:spacing w:before="80" w:after="80"/>
        <w:jc w:val="both"/>
      </w:pPr>
      <w:r>
        <w:rPr>
          <w:color w:val="1F3864"/>
        </w:rPr>
        <w:t>CHENNAI – 602105</w:t>
      </w:r>
    </w:p>
    <w:p w14:paraId="429F1F49" w14:textId="77777777" w:rsidR="00932ED1" w:rsidRDefault="00932ED1" w:rsidP="00932ED1">
      <w:pPr>
        <w:spacing w:before="80" w:after="80"/>
        <w:jc w:val="both"/>
      </w:pPr>
      <w:r>
        <w:rPr>
          <w:b/>
          <w:bCs/>
          <w:sz w:val="22"/>
          <w:szCs w:val="22"/>
        </w:rPr>
        <w:t>Department of Computer Science and Engineering</w:t>
      </w:r>
    </w:p>
    <w:p w14:paraId="6D800C28" w14:textId="77777777" w:rsidR="00932ED1" w:rsidRDefault="00932ED1" w:rsidP="00932ED1">
      <w:pPr>
        <w:pBdr>
          <w:bottom w:val="single" w:sz="6" w:space="1" w:color="1F3864"/>
        </w:pBdr>
        <w:spacing w:before="80" w:after="80"/>
        <w:jc w:val="both"/>
      </w:pPr>
    </w:p>
    <w:p w14:paraId="645F5629" w14:textId="77777777" w:rsidR="00932ED1" w:rsidRDefault="00932ED1" w:rsidP="00932ED1">
      <w:pPr>
        <w:spacing w:before="160" w:after="60"/>
        <w:jc w:val="both"/>
        <w:rPr>
          <w:b/>
          <w:bCs/>
          <w:color w:val="1F3864"/>
          <w:sz w:val="28"/>
          <w:szCs w:val="28"/>
        </w:rPr>
      </w:pPr>
    </w:p>
    <w:p w14:paraId="38795802" w14:textId="77777777" w:rsidR="00932ED1" w:rsidRDefault="00932ED1" w:rsidP="00932ED1">
      <w:pPr>
        <w:pStyle w:val="Heading3"/>
        <w:jc w:val="center"/>
        <w:rPr>
          <w:color w:val="1F3864"/>
          <w:sz w:val="28"/>
          <w:szCs w:val="28"/>
        </w:rPr>
      </w:pPr>
      <w:r>
        <w:rPr>
          <w:b/>
          <w:bCs/>
          <w:color w:val="1F3864"/>
          <w:sz w:val="28"/>
          <w:szCs w:val="28"/>
        </w:rPr>
        <w:t xml:space="preserve">ASSESSMENT TOOL </w:t>
      </w:r>
      <w:r>
        <w:rPr>
          <w:b/>
          <w:bCs/>
          <w:color w:val="1F3864"/>
          <w:sz w:val="28"/>
          <w:szCs w:val="28"/>
          <w:lang w:val="en-US"/>
        </w:rPr>
        <w:t>2</w:t>
      </w:r>
      <w:r>
        <w:rPr>
          <w:b/>
          <w:bCs/>
          <w:color w:val="1F3864"/>
          <w:sz w:val="28"/>
          <w:szCs w:val="28"/>
        </w:rPr>
        <w:t xml:space="preserve">  –  Open Data Analysis</w:t>
      </w:r>
    </w:p>
    <w:p w14:paraId="22321AE5" w14:textId="77777777" w:rsidR="00932ED1" w:rsidRDefault="00932ED1" w:rsidP="00932ED1">
      <w:pPr>
        <w:spacing w:before="80" w:after="160"/>
        <w:jc w:val="both"/>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932ED1" w14:paraId="102FEED5" w14:textId="77777777" w:rsidTr="00E823F1">
        <w:trPr>
          <w:trHeight w:val="789"/>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773E98AE" w14:textId="77777777" w:rsidR="00932ED1" w:rsidRDefault="00932ED1" w:rsidP="00E823F1">
            <w:pPr>
              <w:jc w:val="both"/>
            </w:pPr>
            <w:r>
              <w:rPr>
                <w:b/>
                <w:bCs/>
                <w:color w:val="000000"/>
              </w:rPr>
              <w:t>Course Code: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37745514" w14:textId="77777777" w:rsidR="00932ED1" w:rsidRDefault="00932ED1" w:rsidP="00E823F1">
            <w:pPr>
              <w:jc w:val="both"/>
            </w:pPr>
            <w:r>
              <w:rPr>
                <w:color w:val="000000"/>
              </w:rPr>
              <w:t>DSA05</w:t>
            </w:r>
            <w:r>
              <w:rPr>
                <w:color w:val="000000"/>
                <w:lang w:val="en-US"/>
              </w:rPr>
              <w:t>02</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4F0C280" w14:textId="77777777" w:rsidR="00932ED1" w:rsidRDefault="00932ED1" w:rsidP="00E823F1">
            <w:pPr>
              <w:jc w:val="both"/>
            </w:pPr>
            <w:r>
              <w:rPr>
                <w:b/>
                <w:bCs/>
                <w:color w:val="000000"/>
              </w:rPr>
              <w:t>Course Title:</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236260FF" w14:textId="77777777" w:rsidR="00932ED1" w:rsidRDefault="00932ED1" w:rsidP="00E823F1">
            <w:pPr>
              <w:jc w:val="both"/>
            </w:pPr>
            <w:r>
              <w:t xml:space="preserve">Query Processing for Data Science </w:t>
            </w:r>
          </w:p>
        </w:tc>
      </w:tr>
      <w:tr w:rsidR="00932ED1" w14:paraId="42796E02" w14:textId="77777777" w:rsidTr="00E823F1">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19EA0CD7" w14:textId="77777777" w:rsidR="00932ED1" w:rsidRDefault="00932ED1" w:rsidP="00E823F1">
            <w:pPr>
              <w:jc w:val="both"/>
            </w:pPr>
            <w:r>
              <w:rPr>
                <w:b/>
                <w:bCs/>
                <w:color w:val="000000"/>
              </w:rPr>
              <w:t>CO Assessed:</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2FB5512" w14:textId="77777777" w:rsidR="00932ED1" w:rsidRDefault="00932ED1" w:rsidP="00E823F1">
            <w:pPr>
              <w:jc w:val="both"/>
            </w:pPr>
            <w:r>
              <w:rPr>
                <w:color w:val="000000"/>
              </w:rPr>
              <w:t>CO</w:t>
            </w:r>
            <w:r>
              <w:rPr>
                <w:color w:val="000000"/>
                <w:lang w:val="en-US"/>
              </w:rPr>
              <w:t>4</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3EFB5986" w14:textId="77777777" w:rsidR="00932ED1" w:rsidRDefault="00932ED1" w:rsidP="00E823F1">
            <w:pPr>
              <w:jc w:val="both"/>
            </w:pPr>
            <w:r>
              <w:rPr>
                <w:b/>
                <w:bCs/>
                <w:color w:val="000000"/>
              </w:rPr>
              <w:t>Assessment:</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BA6362E" w14:textId="77777777" w:rsidR="00932ED1" w:rsidRDefault="00932ED1" w:rsidP="00E823F1">
            <w:pPr>
              <w:pStyle w:val="Heading3"/>
            </w:pPr>
            <w:r>
              <w:rPr>
                <w:lang w:val="en-US" w:eastAsia="zh-CN"/>
              </w:rPr>
              <w:t xml:space="preserve">Tool 2– Open Data Analysis </w:t>
            </w:r>
          </w:p>
        </w:tc>
      </w:tr>
      <w:tr w:rsidR="00932ED1" w14:paraId="219714BE" w14:textId="77777777" w:rsidTr="00E823F1">
        <w:trPr>
          <w:trHeight w:val="274"/>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477E20C3" w14:textId="77777777" w:rsidR="00932ED1" w:rsidRDefault="00932ED1" w:rsidP="00E823F1">
            <w:pPr>
              <w:jc w:val="both"/>
            </w:pPr>
            <w:r>
              <w:rPr>
                <w:b/>
                <w:bCs/>
                <w:color w:val="000000"/>
              </w:rPr>
              <w:t>Weightage: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CBBB11B" w14:textId="77777777" w:rsidR="00932ED1" w:rsidRDefault="00932ED1" w:rsidP="00E823F1">
            <w:pPr>
              <w:jc w:val="both"/>
            </w:pP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57863199" w14:textId="77777777" w:rsidR="00932ED1" w:rsidRDefault="00932ED1" w:rsidP="00E823F1">
            <w:pPr>
              <w:jc w:val="both"/>
            </w:pPr>
            <w:r>
              <w:rPr>
                <w:b/>
                <w:bCs/>
                <w:color w:val="000000"/>
              </w:rPr>
              <w:t>Total Marks:</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2299DC9" w14:textId="77777777" w:rsidR="00932ED1" w:rsidRDefault="00932ED1" w:rsidP="00E823F1">
            <w:pPr>
              <w:jc w:val="both"/>
            </w:pPr>
          </w:p>
        </w:tc>
      </w:tr>
      <w:tr w:rsidR="00932ED1" w14:paraId="6E38AB0E" w14:textId="77777777" w:rsidTr="00E823F1">
        <w:trPr>
          <w:trHeight w:val="526"/>
        </w:trPr>
        <w:tc>
          <w:tcPr>
            <w:tcW w:w="9549" w:type="dxa"/>
            <w:gridSpan w:val="4"/>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C038601" w14:textId="77777777" w:rsidR="00932ED1" w:rsidRDefault="00932ED1" w:rsidP="00E823F1">
            <w:pPr>
              <w:widowControl w:val="0"/>
              <w:tabs>
                <w:tab w:val="left" w:pos="1079"/>
              </w:tabs>
              <w:ind w:right="369"/>
              <w:jc w:val="both"/>
              <w:rPr>
                <w:sz w:val="24"/>
                <w:szCs w:val="24"/>
              </w:rPr>
            </w:pPr>
            <w:r>
              <w:rPr>
                <w:b/>
                <w:bCs/>
              </w:rPr>
              <w:t>CO</w:t>
            </w:r>
            <w:r>
              <w:rPr>
                <w:b/>
                <w:bCs/>
                <w:lang w:val="en-US"/>
              </w:rPr>
              <w:t>4</w:t>
            </w:r>
            <w:r>
              <w:rPr>
                <w:b/>
                <w:bCs/>
              </w:rPr>
              <w:t xml:space="preserve"> Statement:  </w:t>
            </w:r>
            <w:r>
              <w:rPr>
                <w:sz w:val="24"/>
                <w:szCs w:val="24"/>
              </w:rPr>
              <w:t>Explore datasets using analytical techniques such as grouping, correlation detection, joining datasets, and extracting meaningful insights.</w:t>
            </w:r>
          </w:p>
        </w:tc>
      </w:tr>
      <w:tr w:rsidR="00932ED1" w14:paraId="42547113" w14:textId="77777777" w:rsidTr="00E823F1">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F0717FF" w14:textId="77777777" w:rsidR="00932ED1" w:rsidRDefault="00932ED1" w:rsidP="00E823F1">
            <w:pPr>
              <w:jc w:val="both"/>
            </w:pPr>
            <w:r>
              <w:rPr>
                <w:b/>
                <w:bCs/>
                <w:color w:val="000000"/>
              </w:rPr>
              <w:t>Student Name: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1E30584C" w14:textId="4998118A" w:rsidR="00932ED1" w:rsidRDefault="00932ED1" w:rsidP="00E823F1">
            <w:pPr>
              <w:jc w:val="both"/>
            </w:pPr>
            <w:r>
              <w:t>Ishwariya P</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3FB81A1A" w14:textId="77777777" w:rsidR="00932ED1" w:rsidRDefault="00932ED1" w:rsidP="00E823F1">
            <w:pPr>
              <w:jc w:val="both"/>
            </w:pPr>
            <w:r>
              <w:rPr>
                <w:b/>
                <w:bCs/>
                <w:color w:val="000000"/>
              </w:rPr>
              <w:t>Reg. No.:</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14CE1DA8" w14:textId="2280AC8E" w:rsidR="00932ED1" w:rsidRDefault="00932ED1" w:rsidP="00E823F1">
            <w:pPr>
              <w:jc w:val="both"/>
            </w:pPr>
            <w:r>
              <w:t>1925244445</w:t>
            </w:r>
          </w:p>
        </w:tc>
      </w:tr>
      <w:tr w:rsidR="00932ED1" w14:paraId="0BB45FDB" w14:textId="77777777" w:rsidTr="00E823F1">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3C82C4D6" w14:textId="77777777" w:rsidR="00932ED1" w:rsidRDefault="00932ED1" w:rsidP="00E823F1">
            <w:pPr>
              <w:jc w:val="both"/>
            </w:pPr>
            <w:r>
              <w:rPr>
                <w:b/>
                <w:bCs/>
                <w:color w:val="000000"/>
              </w:rPr>
              <w:t>Section / Batch:</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7FC624E6" w14:textId="6B5D7511" w:rsidR="00932ED1" w:rsidRDefault="00932ED1" w:rsidP="00E823F1">
            <w:pPr>
              <w:jc w:val="both"/>
            </w:pPr>
            <w:r>
              <w:t>2025</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6F827F9E" w14:textId="77777777" w:rsidR="00932ED1" w:rsidRDefault="00932ED1" w:rsidP="00E823F1">
            <w:pPr>
              <w:jc w:val="both"/>
            </w:pPr>
            <w:r>
              <w:rPr>
                <w:b/>
                <w:bCs/>
                <w:color w:val="000000"/>
              </w:rPr>
              <w:t>Date of Submission:</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7C66B82C" w14:textId="5181C8B0" w:rsidR="00932ED1" w:rsidRDefault="00932ED1" w:rsidP="00E823F1">
            <w:pPr>
              <w:jc w:val="both"/>
            </w:pPr>
            <w:r>
              <w:t>15/8/26</w:t>
            </w:r>
          </w:p>
        </w:tc>
      </w:tr>
      <w:tr w:rsidR="00932ED1" w14:paraId="05F9CF15" w14:textId="77777777" w:rsidTr="00E823F1">
        <w:trPr>
          <w:trHeight w:val="538"/>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1CE0F61" w14:textId="77777777" w:rsidR="00932ED1" w:rsidRDefault="00932ED1" w:rsidP="00E823F1">
            <w:pPr>
              <w:jc w:val="both"/>
            </w:pPr>
            <w:r>
              <w:rPr>
                <w:b/>
                <w:bCs/>
                <w:color w:val="000000"/>
              </w:rPr>
              <w:t>Faculty In-charge: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7930C644" w14:textId="77777777" w:rsidR="00932ED1" w:rsidRDefault="00932ED1" w:rsidP="00E823F1">
            <w:pPr>
              <w:jc w:val="both"/>
            </w:pPr>
            <w:r>
              <w:rPr>
                <w:b/>
                <w:bCs/>
                <w:color w:val="000000"/>
              </w:rPr>
              <w:t xml:space="preserve">Dr. </w:t>
            </w:r>
            <w:r>
              <w:rPr>
                <w:b/>
                <w:bCs/>
                <w:color w:val="000000"/>
                <w:lang w:val="en-US"/>
              </w:rPr>
              <w:t>B.Shyamala Gowri</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5F330A39" w14:textId="77777777" w:rsidR="00932ED1" w:rsidRDefault="00932ED1" w:rsidP="00E823F1">
            <w:pPr>
              <w:jc w:val="both"/>
            </w:pPr>
            <w:r>
              <w:rPr>
                <w:b/>
                <w:bCs/>
                <w:color w:val="000000"/>
              </w:rPr>
              <w:t>Project Mode:</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41C1FB9" w14:textId="77777777" w:rsidR="00932ED1" w:rsidRDefault="00932ED1" w:rsidP="00E823F1">
            <w:pPr>
              <w:jc w:val="both"/>
            </w:pPr>
            <w:r>
              <w:rPr>
                <w:color w:val="000000"/>
              </w:rPr>
              <w:t>Individual Submission</w:t>
            </w:r>
          </w:p>
        </w:tc>
      </w:tr>
    </w:tbl>
    <w:p w14:paraId="5B8A080F" w14:textId="77777777" w:rsidR="00932ED1" w:rsidRDefault="00932ED1" w:rsidP="00932ED1">
      <w:pPr>
        <w:spacing w:before="60" w:after="40"/>
        <w:jc w:val="both"/>
      </w:pPr>
    </w:p>
    <w:p w14:paraId="59640076" w14:textId="77777777" w:rsidR="00932ED1" w:rsidRDefault="00932ED1" w:rsidP="00932ED1">
      <w:pPr>
        <w:spacing w:before="60" w:after="40"/>
        <w:jc w:val="both"/>
      </w:pPr>
    </w:p>
    <w:tbl>
      <w:tblPr>
        <w:tblW w:w="9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3"/>
      </w:tblGrid>
      <w:tr w:rsidR="00932ED1" w14:paraId="057CA52F" w14:textId="77777777" w:rsidTr="00E823F1">
        <w:trPr>
          <w:trHeight w:val="2301"/>
        </w:trPr>
        <w:tc>
          <w:tcPr>
            <w:tcW w:w="9933"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6C72A6FA" w14:textId="3EEA3CEE" w:rsidR="00932ED1" w:rsidRDefault="00932ED1" w:rsidP="00E823F1">
            <w:pPr>
              <w:spacing w:line="360" w:lineRule="auto"/>
              <w:jc w:val="both"/>
            </w:pPr>
            <w:r>
              <w:rPr>
                <w:b/>
                <w:bCs/>
                <w:color w:val="7B4F00"/>
              </w:rPr>
              <w:t xml:space="preserve">Code of Conduct  </w:t>
            </w:r>
            <w:r>
              <w:rPr>
                <w:b/>
                <w:bCs/>
                <w:color w:val="7B4F00"/>
              </w:rPr>
              <w:br/>
            </w:r>
            <w:r>
              <w:rPr>
                <w:b/>
                <w:bCs/>
                <w:color w:val="7B4F00"/>
              </w:rPr>
              <w:br/>
            </w:r>
            <w:r>
              <w:rPr>
                <w:sz w:val="18"/>
                <w:szCs w:val="18"/>
              </w:rPr>
              <w:t>I ___</w:t>
            </w:r>
            <w:r>
              <w:rPr>
                <w:sz w:val="18"/>
                <w:szCs w:val="18"/>
              </w:rPr>
              <w:t>Ishwariya P(1925244445)</w:t>
            </w:r>
            <w:r>
              <w:rPr>
                <w:sz w:val="18"/>
                <w:szCs w:val="18"/>
              </w:rPr>
              <w:t xml:space="preserve">_______________________ (Name / Reg No) certify that this submission is my original work and that I have adhered to all guidelines specified for this assessment. I understand that any violation of academic integrity rules will result in disciplinary action.   </w:t>
            </w:r>
            <w:r>
              <w:rPr>
                <w:sz w:val="18"/>
                <w:szCs w:val="18"/>
              </w:rPr>
              <w:br/>
            </w:r>
            <w:r>
              <w:rPr>
                <w:sz w:val="18"/>
                <w:szCs w:val="18"/>
              </w:rPr>
              <w:br/>
              <w:t>Signature: _________________________</w:t>
            </w:r>
          </w:p>
        </w:tc>
      </w:tr>
    </w:tbl>
    <w:p w14:paraId="19D99FF8" w14:textId="77777777" w:rsidR="00932ED1" w:rsidRDefault="00932ED1" w:rsidP="00932ED1">
      <w:pPr>
        <w:spacing w:before="60" w:after="40"/>
        <w:jc w:val="both"/>
      </w:pPr>
    </w:p>
    <w:p w14:paraId="4CDAA0CB" w14:textId="77777777" w:rsidR="00932ED1" w:rsidRDefault="00932ED1" w:rsidP="00932ED1">
      <w:pPr>
        <w:pStyle w:val="NormalWeb"/>
        <w:spacing w:beforeAutospacing="0" w:afterAutospacing="0"/>
        <w:jc w:val="both"/>
      </w:pPr>
    </w:p>
    <w:p w14:paraId="7A577252" w14:textId="77777777" w:rsidR="00932ED1" w:rsidRDefault="00932ED1" w:rsidP="00932ED1">
      <w:pPr>
        <w:pStyle w:val="NormalWeb"/>
        <w:spacing w:beforeAutospacing="0" w:afterAutospacing="0"/>
        <w:jc w:val="both"/>
      </w:pPr>
    </w:p>
    <w:p w14:paraId="07C9A72F" w14:textId="77777777" w:rsidR="00932ED1" w:rsidRDefault="00932ED1" w:rsidP="00932ED1">
      <w:pPr>
        <w:pStyle w:val="NormalWeb"/>
        <w:spacing w:beforeAutospacing="0" w:afterAutospacing="0"/>
        <w:jc w:val="both"/>
      </w:pPr>
    </w:p>
    <w:p w14:paraId="5E1F5F0F" w14:textId="77777777" w:rsidR="00932ED1" w:rsidRDefault="00932ED1" w:rsidP="00932ED1">
      <w:pPr>
        <w:pStyle w:val="NormalWeb"/>
        <w:spacing w:beforeAutospacing="0" w:afterAutospacing="0"/>
        <w:jc w:val="both"/>
      </w:pPr>
    </w:p>
    <w:p w14:paraId="748EA9FF" w14:textId="77777777" w:rsidR="00932ED1" w:rsidRDefault="00932ED1" w:rsidP="00932ED1">
      <w:pPr>
        <w:pStyle w:val="NormalWeb"/>
        <w:spacing w:beforeAutospacing="0" w:afterAutospacing="0"/>
        <w:jc w:val="both"/>
      </w:pPr>
    </w:p>
    <w:p w14:paraId="201C9CE4" w14:textId="77777777" w:rsidR="00932ED1" w:rsidRDefault="00932ED1" w:rsidP="00932ED1">
      <w:pPr>
        <w:pStyle w:val="NormalWeb"/>
        <w:spacing w:beforeAutospacing="0" w:afterAutospacing="0"/>
        <w:jc w:val="both"/>
      </w:pPr>
    </w:p>
    <w:p w14:paraId="04BB970C" w14:textId="77777777" w:rsidR="00932ED1" w:rsidRDefault="00932ED1" w:rsidP="00932ED1">
      <w:pPr>
        <w:pStyle w:val="NormalWeb"/>
        <w:spacing w:beforeAutospacing="0" w:afterAutospacing="0"/>
        <w:jc w:val="both"/>
      </w:pPr>
    </w:p>
    <w:p w14:paraId="2B9E4E06" w14:textId="77777777" w:rsidR="00932ED1" w:rsidRDefault="00932ED1" w:rsidP="00932ED1">
      <w:pPr>
        <w:pStyle w:val="NormalWeb"/>
        <w:spacing w:beforeAutospacing="0" w:afterAutospacing="0"/>
        <w:jc w:val="both"/>
      </w:pPr>
    </w:p>
    <w:p w14:paraId="73240B87" w14:textId="77777777" w:rsidR="00932ED1" w:rsidRDefault="00932ED1" w:rsidP="00932ED1">
      <w:pPr>
        <w:pStyle w:val="Heading2"/>
        <w:jc w:val="both"/>
        <w:rPr>
          <w:sz w:val="24"/>
          <w:szCs w:val="24"/>
        </w:rPr>
      </w:pPr>
    </w:p>
    <w:p w14:paraId="48DB2198" w14:textId="77777777" w:rsidR="00932ED1" w:rsidRDefault="00932ED1" w:rsidP="00932ED1">
      <w:pPr>
        <w:pStyle w:val="NormalWeb"/>
        <w:jc w:val="both"/>
      </w:pPr>
      <w:r>
        <w:rPr>
          <w:rStyle w:val="Strong"/>
        </w:rPr>
        <w:t>1.</w:t>
      </w:r>
      <w:r>
        <w:t xml:space="preserve"> Select any </w:t>
      </w:r>
      <w:r>
        <w:rPr>
          <w:rStyle w:val="Strong"/>
        </w:rPr>
        <w:t>open government dataset</w:t>
      </w:r>
      <w:r>
        <w:t xml:space="preserve"> and perform data exploration using importing, table functions, filtering, sorting, grouping, correlation analysis, and outlier detection. Present the results using suitable charts and publish the final analysis on an open-source platform. </w:t>
      </w:r>
    </w:p>
    <w:p w14:paraId="19A49F42" w14:textId="77777777" w:rsidR="00932ED1" w:rsidRDefault="00932ED1" w:rsidP="00932ED1">
      <w:pPr>
        <w:pStyle w:val="NormalWeb"/>
        <w:jc w:val="both"/>
      </w:pPr>
      <w:r>
        <w:rPr>
          <w:rStyle w:val="Strong"/>
        </w:rPr>
        <w:t>2.</w:t>
      </w:r>
      <w:r>
        <w:t xml:space="preserve"> Select any </w:t>
      </w:r>
      <w:r>
        <w:rPr>
          <w:rStyle w:val="Strong"/>
        </w:rPr>
        <w:t>open environmental dataset</w:t>
      </w:r>
      <w:r>
        <w:t xml:space="preserve"> such as air quality, rainfall, temperature, or pollution data. Analyze time-related patterns, identify correlations and outliers, create geographical visualizations/maps, and present the findings using an interactive visualization tool. </w:t>
      </w:r>
    </w:p>
    <w:p w14:paraId="422E7BCE" w14:textId="77777777" w:rsidR="00932ED1" w:rsidRDefault="00932ED1">
      <w:pPr>
        <w:spacing w:after="300"/>
        <w:jc w:val="center"/>
        <w:rPr>
          <w:b/>
          <w:bCs/>
          <w:color w:val="000000"/>
          <w:sz w:val="40"/>
          <w:szCs w:val="40"/>
        </w:rPr>
      </w:pPr>
    </w:p>
    <w:p w14:paraId="05247853" w14:textId="77777777" w:rsidR="00932ED1" w:rsidRDefault="00932ED1">
      <w:pPr>
        <w:spacing w:after="300"/>
        <w:jc w:val="center"/>
        <w:rPr>
          <w:b/>
          <w:bCs/>
          <w:color w:val="000000"/>
          <w:sz w:val="40"/>
          <w:szCs w:val="40"/>
        </w:rPr>
      </w:pPr>
    </w:p>
    <w:p w14:paraId="2AFB14F3" w14:textId="77777777" w:rsidR="00932ED1" w:rsidRDefault="00932ED1">
      <w:pPr>
        <w:spacing w:after="300"/>
        <w:jc w:val="center"/>
        <w:rPr>
          <w:b/>
          <w:bCs/>
          <w:color w:val="000000"/>
          <w:sz w:val="40"/>
          <w:szCs w:val="40"/>
        </w:rPr>
      </w:pPr>
    </w:p>
    <w:p w14:paraId="51A5BEB8" w14:textId="77777777" w:rsidR="00932ED1" w:rsidRDefault="00932ED1">
      <w:pPr>
        <w:spacing w:after="300"/>
        <w:jc w:val="center"/>
        <w:rPr>
          <w:b/>
          <w:bCs/>
          <w:color w:val="000000"/>
          <w:sz w:val="40"/>
          <w:szCs w:val="40"/>
        </w:rPr>
      </w:pPr>
    </w:p>
    <w:p w14:paraId="372EC83E" w14:textId="77777777" w:rsidR="00932ED1" w:rsidRDefault="00932ED1">
      <w:pPr>
        <w:spacing w:after="300"/>
        <w:jc w:val="center"/>
        <w:rPr>
          <w:b/>
          <w:bCs/>
          <w:color w:val="000000"/>
          <w:sz w:val="40"/>
          <w:szCs w:val="40"/>
        </w:rPr>
      </w:pPr>
    </w:p>
    <w:p w14:paraId="4E9C3795" w14:textId="77777777" w:rsidR="00932ED1" w:rsidRDefault="00932ED1">
      <w:pPr>
        <w:spacing w:after="300"/>
        <w:jc w:val="center"/>
        <w:rPr>
          <w:b/>
          <w:bCs/>
          <w:color w:val="000000"/>
          <w:sz w:val="40"/>
          <w:szCs w:val="40"/>
        </w:rPr>
      </w:pPr>
    </w:p>
    <w:p w14:paraId="441D9875" w14:textId="77777777" w:rsidR="00932ED1" w:rsidRDefault="00932ED1">
      <w:pPr>
        <w:spacing w:after="300"/>
        <w:jc w:val="center"/>
        <w:rPr>
          <w:b/>
          <w:bCs/>
          <w:color w:val="000000"/>
          <w:sz w:val="40"/>
          <w:szCs w:val="40"/>
        </w:rPr>
      </w:pPr>
    </w:p>
    <w:p w14:paraId="3526A801" w14:textId="77777777" w:rsidR="00932ED1" w:rsidRDefault="00932ED1">
      <w:pPr>
        <w:spacing w:after="300"/>
        <w:jc w:val="center"/>
        <w:rPr>
          <w:b/>
          <w:bCs/>
          <w:color w:val="000000"/>
          <w:sz w:val="40"/>
          <w:szCs w:val="40"/>
        </w:rPr>
      </w:pPr>
    </w:p>
    <w:p w14:paraId="76473191" w14:textId="77777777" w:rsidR="00932ED1" w:rsidRDefault="00932ED1">
      <w:pPr>
        <w:spacing w:after="300"/>
        <w:jc w:val="center"/>
        <w:rPr>
          <w:b/>
          <w:bCs/>
          <w:color w:val="000000"/>
          <w:sz w:val="40"/>
          <w:szCs w:val="40"/>
        </w:rPr>
      </w:pPr>
    </w:p>
    <w:p w14:paraId="16DCFE21" w14:textId="77777777" w:rsidR="00932ED1" w:rsidRDefault="00932ED1">
      <w:pPr>
        <w:spacing w:after="300"/>
        <w:jc w:val="center"/>
        <w:rPr>
          <w:b/>
          <w:bCs/>
          <w:color w:val="000000"/>
          <w:sz w:val="40"/>
          <w:szCs w:val="40"/>
        </w:rPr>
      </w:pPr>
    </w:p>
    <w:p w14:paraId="306D3399" w14:textId="77777777" w:rsidR="00932ED1" w:rsidRDefault="00932ED1">
      <w:pPr>
        <w:spacing w:after="300"/>
        <w:jc w:val="center"/>
        <w:rPr>
          <w:b/>
          <w:bCs/>
          <w:color w:val="000000"/>
          <w:sz w:val="40"/>
          <w:szCs w:val="40"/>
        </w:rPr>
      </w:pPr>
    </w:p>
    <w:p w14:paraId="7372ABCC" w14:textId="77777777" w:rsidR="00932ED1" w:rsidRDefault="00932ED1">
      <w:pPr>
        <w:spacing w:after="300"/>
        <w:jc w:val="center"/>
        <w:rPr>
          <w:b/>
          <w:bCs/>
          <w:color w:val="000000"/>
          <w:sz w:val="40"/>
          <w:szCs w:val="40"/>
        </w:rPr>
      </w:pPr>
    </w:p>
    <w:p w14:paraId="7145A0FF" w14:textId="68612FC6" w:rsidR="00507C42" w:rsidRDefault="00000000">
      <w:pPr>
        <w:spacing w:after="300"/>
        <w:jc w:val="center"/>
      </w:pPr>
      <w:r>
        <w:rPr>
          <w:b/>
          <w:bCs/>
          <w:color w:val="000000"/>
          <w:sz w:val="40"/>
          <w:szCs w:val="40"/>
        </w:rPr>
        <w:lastRenderedPageBreak/>
        <w:t>CO4 OPEN DATA ANALYSIS ASSESSMENT REPORT</w:t>
      </w:r>
    </w:p>
    <w:p w14:paraId="173E40F6" w14:textId="77777777" w:rsidR="00507C42" w:rsidRDefault="00000000">
      <w:pPr>
        <w:spacing w:after="500"/>
        <w:jc w:val="center"/>
      </w:pPr>
      <w:r>
        <w:rPr>
          <w:i/>
          <w:iCs/>
          <w:color w:val="000000"/>
          <w:sz w:val="26"/>
          <w:szCs w:val="26"/>
        </w:rPr>
        <w:t>Analysis of Open Government and Environmental Datasets</w:t>
      </w:r>
    </w:p>
    <w:p w14:paraId="4A4EED9D" w14:textId="77777777" w:rsidR="00507C42" w:rsidRDefault="00000000">
      <w:pPr>
        <w:spacing w:before="400" w:after="200"/>
      </w:pPr>
      <w:r>
        <w:rPr>
          <w:b/>
          <w:bCs/>
          <w:color w:val="000000"/>
          <w:sz w:val="32"/>
          <w:szCs w:val="32"/>
        </w:rPr>
        <w:t>Tools and Methodology Overview</w:t>
      </w:r>
    </w:p>
    <w:p w14:paraId="50FE8E7B" w14:textId="77777777" w:rsidR="00507C42" w:rsidRDefault="00000000">
      <w:pPr>
        <w:spacing w:after="160" w:line="276" w:lineRule="auto"/>
        <w:jc w:val="both"/>
      </w:pPr>
      <w:r>
        <w:rPr>
          <w:color w:val="000000"/>
          <w:sz w:val="24"/>
          <w:szCs w:val="24"/>
        </w:rPr>
        <w:t>Both analyses presented in this report were carried out using a common Python-based data-analysis toolchain, chosen for its widespread adoption in both academic and industry open-data work. Pandas was used for all data import, cleaning, filtering, sorting and grouping operations; NumPy supported numerical computations including IQR and Z-score calculations; Matplotlib and Seaborn were used for static exploratory charts (bar charts, box plots, heatmaps); Plotly was used specifically for the interactive visualisation required in Question 2; and statsmodels supplied the time-series decomposition and autocorrelation functions used in the trend analysis. All code was developed and executed in a Jupyter Notebook environment, which allows analysis steps to be interleaved with narrative explanation and inline chart output, and which was subsequently published to GitHub as described in Section 1.13.</w:t>
      </w:r>
    </w:p>
    <w:p w14:paraId="50ACD47B" w14:textId="77777777" w:rsidR="00507C42" w:rsidRDefault="00000000">
      <w:pPr>
        <w:spacing w:after="160" w:line="276" w:lineRule="auto"/>
        <w:jc w:val="both"/>
      </w:pPr>
      <w:r>
        <w:rPr>
          <w:color w:val="000000"/>
          <w:sz w:val="24"/>
          <w:szCs w:val="24"/>
        </w:rPr>
        <w:t>The overall analytical approach followed a consistent five-stage pipeline across both questions: (1) data acquisition and import, (2) inspection and cleaning, (3) exploratory analysis through filtering, sorting and grouping, (4) statistical analysis through correlation and outlier detection, and (5) communication of insights through static and interactive visualisation. This structured pipeline mirrors industry-standard data-analysis practice (sometimes summarised as the CRISP-DM or OSEMN framework) and ensures that the conclusions drawn in each report are traceable back to a specific, reproducible analytical step rather than being asserted without evidentiary basis.</w:t>
      </w:r>
    </w:p>
    <w:p w14:paraId="11605DAF" w14:textId="77777777" w:rsidR="00507C42" w:rsidRDefault="00000000">
      <w:r>
        <w:br w:type="page"/>
      </w:r>
    </w:p>
    <w:p w14:paraId="38F6C4BD" w14:textId="77777777" w:rsidR="00507C42" w:rsidRDefault="00000000">
      <w:pPr>
        <w:spacing w:before="400" w:after="200"/>
      </w:pPr>
      <w:r>
        <w:rPr>
          <w:b/>
          <w:bCs/>
          <w:color w:val="000000"/>
          <w:sz w:val="32"/>
          <w:szCs w:val="32"/>
        </w:rPr>
        <w:lastRenderedPageBreak/>
        <w:t>Question 1: Analysis of an Open Government Dataset</w:t>
      </w:r>
    </w:p>
    <w:p w14:paraId="6DE6490B" w14:textId="77777777" w:rsidR="00507C42" w:rsidRDefault="00000000">
      <w:pPr>
        <w:spacing w:before="300" w:after="150"/>
      </w:pPr>
      <w:r>
        <w:rPr>
          <w:b/>
          <w:bCs/>
          <w:color w:val="000000"/>
          <w:sz w:val="26"/>
          <w:szCs w:val="26"/>
        </w:rPr>
        <w:t>1.1 Dataset Introduction</w:t>
      </w:r>
    </w:p>
    <w:p w14:paraId="368D28A7" w14:textId="77777777" w:rsidR="00507C42" w:rsidRDefault="00000000">
      <w:pPr>
        <w:spacing w:after="160" w:line="276" w:lineRule="auto"/>
        <w:jc w:val="both"/>
      </w:pPr>
      <w:r>
        <w:rPr>
          <w:color w:val="000000"/>
          <w:sz w:val="24"/>
          <w:szCs w:val="24"/>
        </w:rPr>
        <w:t>For the purpose of this analysis, the dataset selected is the “Public Distribution System (PDS) Ration Shop Sales Data”, published on the Open Government Data (OGD) Platform India (data.gov.in). This dataset was chosen because it represents a genuine, publicly available government dataset that captures real-world administrative and welfare-scheme transactions across various states and districts of India. The dataset records monthly sales of essential commodities such as rice, wheat, sugar and kerosene distributed through Fair Price Shops (FPS) under the National Food Security Act (NFSA). It provides a rich combination of categorical fields (state, district, commodity type) and numerical fields (quantity allotted, quantity lifted, quantity sold, price per unit), making it suitable for demonstrating the full spectrum of data analysis operations required by this assessment, including cleaning, filtering, sorting, grouping, correlation and outlier detection.</w:t>
      </w:r>
    </w:p>
    <w:p w14:paraId="605D59AB" w14:textId="77777777" w:rsidR="00507C42" w:rsidRDefault="00000000">
      <w:pPr>
        <w:spacing w:after="160" w:line="276" w:lineRule="auto"/>
        <w:jc w:val="both"/>
      </w:pPr>
      <w:r>
        <w:rPr>
          <w:color w:val="000000"/>
          <w:sz w:val="24"/>
          <w:szCs w:val="24"/>
        </w:rPr>
        <w:t>The relevance of this dataset extends beyond academic exercise; PDS data is used by policymakers to evaluate leakage in the distribution chain, to monitor food security compliance, and to plan procurement for future periods. Analysing such a dataset therefore offers direct exposure to the kind of open data problems that data analysts encounter in the public sector.</w:t>
      </w:r>
    </w:p>
    <w:p w14:paraId="7845EE80" w14:textId="77777777" w:rsidR="00507C42" w:rsidRDefault="00000000">
      <w:pPr>
        <w:spacing w:before="300" w:after="150"/>
      </w:pPr>
      <w:r>
        <w:rPr>
          <w:b/>
          <w:bCs/>
          <w:color w:val="000000"/>
          <w:sz w:val="26"/>
          <w:szCs w:val="26"/>
        </w:rPr>
        <w:t>1.2 Dataset Source and Description</w:t>
      </w:r>
    </w:p>
    <w:p w14:paraId="2DDBAE98" w14:textId="77777777" w:rsidR="00507C42" w:rsidRDefault="00000000">
      <w:pPr>
        <w:spacing w:after="160" w:line="276" w:lineRule="auto"/>
        <w:jc w:val="both"/>
      </w:pPr>
      <w:r>
        <w:rPr>
          <w:color w:val="000000"/>
          <w:sz w:val="24"/>
          <w:szCs w:val="24"/>
        </w:rPr>
        <w:t>Source: Open Government Data (OGD) Platform India, https://data.gov.in, published by the Department of Food and Public Distribution, Ministry of Consumer Affairs, Food and Public Distribution, Government of India.</w:t>
      </w:r>
    </w:p>
    <w:p w14:paraId="5FC5CE11" w14:textId="77777777" w:rsidR="00507C42" w:rsidRDefault="00000000">
      <w:pPr>
        <w:spacing w:after="160" w:line="276" w:lineRule="auto"/>
        <w:jc w:val="both"/>
      </w:pPr>
      <w:r>
        <w:rPr>
          <w:color w:val="000000"/>
          <w:sz w:val="24"/>
          <w:szCs w:val="24"/>
        </w:rPr>
        <w:t>The dataset possesses the following structural characteristics: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507C42" w14:paraId="2EA58E90" w14:textId="77777777">
        <w:tblPrEx>
          <w:tblCellMar>
            <w:top w:w="0" w:type="dxa"/>
            <w:bottom w:w="0" w:type="dxa"/>
          </w:tblCellMar>
        </w:tblPrEx>
        <w:tc>
          <w:tcPr>
            <w:tcW w:w="3000" w:type="dxa"/>
            <w:shd w:val="clear" w:color="auto" w:fill="D9D9D9"/>
          </w:tcPr>
          <w:p w14:paraId="427F3BA4" w14:textId="77777777" w:rsidR="00507C42" w:rsidRDefault="00000000">
            <w:r>
              <w:rPr>
                <w:b/>
                <w:bCs/>
                <w:color w:val="000000"/>
                <w:sz w:val="22"/>
                <w:szCs w:val="22"/>
              </w:rPr>
              <w:t>Attribute</w:t>
            </w:r>
          </w:p>
        </w:tc>
        <w:tc>
          <w:tcPr>
            <w:tcW w:w="6500" w:type="dxa"/>
            <w:shd w:val="clear" w:color="auto" w:fill="D9D9D9"/>
          </w:tcPr>
          <w:p w14:paraId="261FD7C6" w14:textId="77777777" w:rsidR="00507C42" w:rsidRDefault="00000000">
            <w:r>
              <w:rPr>
                <w:b/>
                <w:bCs/>
                <w:color w:val="000000"/>
                <w:sz w:val="22"/>
                <w:szCs w:val="22"/>
              </w:rPr>
              <w:t>Description</w:t>
            </w:r>
          </w:p>
        </w:tc>
      </w:tr>
      <w:tr w:rsidR="00507C42" w14:paraId="41F2262D" w14:textId="77777777">
        <w:tblPrEx>
          <w:tblCellMar>
            <w:top w:w="0" w:type="dxa"/>
            <w:bottom w:w="0" w:type="dxa"/>
          </w:tblCellMar>
        </w:tblPrEx>
        <w:tc>
          <w:tcPr>
            <w:tcW w:w="3000" w:type="dxa"/>
          </w:tcPr>
          <w:p w14:paraId="205AF6AB" w14:textId="77777777" w:rsidR="00507C42" w:rsidRDefault="00000000">
            <w:r>
              <w:rPr>
                <w:color w:val="000000"/>
                <w:sz w:val="22"/>
                <w:szCs w:val="22"/>
              </w:rPr>
              <w:t>Number of Records</w:t>
            </w:r>
          </w:p>
        </w:tc>
        <w:tc>
          <w:tcPr>
            <w:tcW w:w="6500" w:type="dxa"/>
          </w:tcPr>
          <w:p w14:paraId="5CB5B51E" w14:textId="77777777" w:rsidR="00507C42" w:rsidRDefault="00000000">
            <w:r>
              <w:rPr>
                <w:color w:val="000000"/>
                <w:sz w:val="22"/>
                <w:szCs w:val="22"/>
              </w:rPr>
              <w:t>Approximately 18,500 rows (state-district-month level)</w:t>
            </w:r>
          </w:p>
        </w:tc>
      </w:tr>
      <w:tr w:rsidR="00507C42" w14:paraId="7A4665F3" w14:textId="77777777">
        <w:tblPrEx>
          <w:tblCellMar>
            <w:top w:w="0" w:type="dxa"/>
            <w:bottom w:w="0" w:type="dxa"/>
          </w:tblCellMar>
        </w:tblPrEx>
        <w:tc>
          <w:tcPr>
            <w:tcW w:w="3000" w:type="dxa"/>
          </w:tcPr>
          <w:p w14:paraId="01AF63DE" w14:textId="77777777" w:rsidR="00507C42" w:rsidRDefault="00000000">
            <w:r>
              <w:rPr>
                <w:color w:val="000000"/>
                <w:sz w:val="22"/>
                <w:szCs w:val="22"/>
              </w:rPr>
              <w:t>Number of Columns</w:t>
            </w:r>
          </w:p>
        </w:tc>
        <w:tc>
          <w:tcPr>
            <w:tcW w:w="6500" w:type="dxa"/>
          </w:tcPr>
          <w:p w14:paraId="4096F51E" w14:textId="77777777" w:rsidR="00507C42" w:rsidRDefault="00000000">
            <w:r>
              <w:rPr>
                <w:color w:val="000000"/>
                <w:sz w:val="22"/>
                <w:szCs w:val="22"/>
              </w:rPr>
              <w:t>11 columns</w:t>
            </w:r>
          </w:p>
        </w:tc>
      </w:tr>
      <w:tr w:rsidR="00507C42" w14:paraId="5A77B1DA" w14:textId="77777777">
        <w:tblPrEx>
          <w:tblCellMar>
            <w:top w:w="0" w:type="dxa"/>
            <w:bottom w:w="0" w:type="dxa"/>
          </w:tblCellMar>
        </w:tblPrEx>
        <w:tc>
          <w:tcPr>
            <w:tcW w:w="3000" w:type="dxa"/>
          </w:tcPr>
          <w:p w14:paraId="79C21B40" w14:textId="77777777" w:rsidR="00507C42" w:rsidRDefault="00000000">
            <w:r>
              <w:rPr>
                <w:color w:val="000000"/>
                <w:sz w:val="22"/>
                <w:szCs w:val="22"/>
              </w:rPr>
              <w:t>Time Period Covered</w:t>
            </w:r>
          </w:p>
        </w:tc>
        <w:tc>
          <w:tcPr>
            <w:tcW w:w="6500" w:type="dxa"/>
          </w:tcPr>
          <w:p w14:paraId="269C6FBF" w14:textId="77777777" w:rsidR="00507C42" w:rsidRDefault="00000000">
            <w:r>
              <w:rPr>
                <w:color w:val="000000"/>
                <w:sz w:val="22"/>
                <w:szCs w:val="22"/>
              </w:rPr>
              <w:t>April 2019 – March 2023 (48 months)</w:t>
            </w:r>
          </w:p>
        </w:tc>
      </w:tr>
      <w:tr w:rsidR="00507C42" w14:paraId="34F1415C" w14:textId="77777777">
        <w:tblPrEx>
          <w:tblCellMar>
            <w:top w:w="0" w:type="dxa"/>
            <w:bottom w:w="0" w:type="dxa"/>
          </w:tblCellMar>
        </w:tblPrEx>
        <w:tc>
          <w:tcPr>
            <w:tcW w:w="3000" w:type="dxa"/>
          </w:tcPr>
          <w:p w14:paraId="3CEECC44" w14:textId="77777777" w:rsidR="00507C42" w:rsidRDefault="00000000">
            <w:r>
              <w:rPr>
                <w:color w:val="000000"/>
                <w:sz w:val="22"/>
                <w:szCs w:val="22"/>
              </w:rPr>
              <w:t>File Format</w:t>
            </w:r>
          </w:p>
        </w:tc>
        <w:tc>
          <w:tcPr>
            <w:tcW w:w="6500" w:type="dxa"/>
          </w:tcPr>
          <w:p w14:paraId="301F1EE7" w14:textId="77777777" w:rsidR="00507C42" w:rsidRDefault="00000000">
            <w:r>
              <w:rPr>
                <w:color w:val="000000"/>
                <w:sz w:val="22"/>
                <w:szCs w:val="22"/>
              </w:rPr>
              <w:t>CSV (Comma Separated Values)</w:t>
            </w:r>
          </w:p>
        </w:tc>
      </w:tr>
      <w:tr w:rsidR="00507C42" w14:paraId="6D0EE38A" w14:textId="77777777">
        <w:tblPrEx>
          <w:tblCellMar>
            <w:top w:w="0" w:type="dxa"/>
            <w:bottom w:w="0" w:type="dxa"/>
          </w:tblCellMar>
        </w:tblPrEx>
        <w:tc>
          <w:tcPr>
            <w:tcW w:w="3000" w:type="dxa"/>
          </w:tcPr>
          <w:p w14:paraId="26653E2A" w14:textId="77777777" w:rsidR="00507C42" w:rsidRDefault="00000000">
            <w:r>
              <w:rPr>
                <w:color w:val="000000"/>
                <w:sz w:val="22"/>
                <w:szCs w:val="22"/>
              </w:rPr>
              <w:t>Key Columns</w:t>
            </w:r>
          </w:p>
        </w:tc>
        <w:tc>
          <w:tcPr>
            <w:tcW w:w="6500" w:type="dxa"/>
          </w:tcPr>
          <w:p w14:paraId="150E9FA3" w14:textId="77777777" w:rsidR="00507C42" w:rsidRDefault="00000000">
            <w:r>
              <w:rPr>
                <w:color w:val="000000"/>
                <w:sz w:val="22"/>
                <w:szCs w:val="22"/>
              </w:rPr>
              <w:t>State, District, Month, Commodity, Quantity_Allotted_MT, Quantity_Lifted_MT, Quantity_Sold_MT, Price_Per_Kg, Beneficiaries_Covered, FPS_Count, Leakage_Percent</w:t>
            </w:r>
          </w:p>
        </w:tc>
      </w:tr>
      <w:tr w:rsidR="00507C42" w14:paraId="09A455BB" w14:textId="77777777">
        <w:tblPrEx>
          <w:tblCellMar>
            <w:top w:w="0" w:type="dxa"/>
            <w:bottom w:w="0" w:type="dxa"/>
          </w:tblCellMar>
        </w:tblPrEx>
        <w:tc>
          <w:tcPr>
            <w:tcW w:w="3000" w:type="dxa"/>
          </w:tcPr>
          <w:p w14:paraId="6F3C0F3B" w14:textId="77777777" w:rsidR="00507C42" w:rsidRDefault="00000000">
            <w:r>
              <w:rPr>
                <w:color w:val="000000"/>
                <w:sz w:val="22"/>
                <w:szCs w:val="22"/>
              </w:rPr>
              <w:t>License</w:t>
            </w:r>
          </w:p>
        </w:tc>
        <w:tc>
          <w:tcPr>
            <w:tcW w:w="6500" w:type="dxa"/>
          </w:tcPr>
          <w:p w14:paraId="6E212C10" w14:textId="77777777" w:rsidR="00507C42" w:rsidRDefault="00000000">
            <w:r>
              <w:rPr>
                <w:color w:val="000000"/>
                <w:sz w:val="22"/>
                <w:szCs w:val="22"/>
              </w:rPr>
              <w:t>Government Open Data License – India (GODL-India)</w:t>
            </w:r>
          </w:p>
        </w:tc>
      </w:tr>
    </w:tbl>
    <w:p w14:paraId="00799A6A" w14:textId="77777777" w:rsidR="00507C42" w:rsidRDefault="00000000">
      <w:pPr>
        <w:spacing w:before="300" w:after="150"/>
      </w:pPr>
      <w:r>
        <w:rPr>
          <w:b/>
          <w:bCs/>
          <w:color w:val="000000"/>
          <w:sz w:val="26"/>
          <w:szCs w:val="26"/>
        </w:rPr>
        <w:t>1.2.1 Sample Data Snapshot</w:t>
      </w:r>
    </w:p>
    <w:p w14:paraId="54257FD1" w14:textId="77777777" w:rsidR="00507C42" w:rsidRDefault="00000000">
      <w:pPr>
        <w:spacing w:after="160" w:line="276" w:lineRule="auto"/>
        <w:jc w:val="both"/>
      </w:pPr>
      <w:r>
        <w:rPr>
          <w:color w:val="000000"/>
          <w:sz w:val="24"/>
          <w:szCs w:val="24"/>
        </w:rPr>
        <w:t>A representative snapshot of the first few records of the cleaned dataset, as displayed by df.head(), is shown below to illustrate the row-and-column structure described above.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1300"/>
        <w:gridCol w:w="1400"/>
        <w:gridCol w:w="1500"/>
        <w:gridCol w:w="1300"/>
        <w:gridCol w:w="1100"/>
      </w:tblGrid>
      <w:tr w:rsidR="00507C42" w14:paraId="7ED6E993" w14:textId="77777777">
        <w:tblPrEx>
          <w:tblCellMar>
            <w:top w:w="0" w:type="dxa"/>
            <w:bottom w:w="0" w:type="dxa"/>
          </w:tblCellMar>
        </w:tblPrEx>
        <w:tc>
          <w:tcPr>
            <w:tcW w:w="1500" w:type="dxa"/>
            <w:shd w:val="clear" w:color="auto" w:fill="D9D9D9"/>
          </w:tcPr>
          <w:p w14:paraId="3DA54E51" w14:textId="77777777" w:rsidR="00507C42" w:rsidRDefault="00000000">
            <w:r>
              <w:rPr>
                <w:b/>
                <w:bCs/>
                <w:color w:val="000000"/>
                <w:sz w:val="22"/>
                <w:szCs w:val="22"/>
              </w:rPr>
              <w:t>State</w:t>
            </w:r>
          </w:p>
        </w:tc>
        <w:tc>
          <w:tcPr>
            <w:tcW w:w="1400" w:type="dxa"/>
            <w:shd w:val="clear" w:color="auto" w:fill="D9D9D9"/>
          </w:tcPr>
          <w:p w14:paraId="09BA531E" w14:textId="77777777" w:rsidR="00507C42" w:rsidRDefault="00000000">
            <w:r>
              <w:rPr>
                <w:b/>
                <w:bCs/>
                <w:color w:val="000000"/>
                <w:sz w:val="22"/>
                <w:szCs w:val="22"/>
              </w:rPr>
              <w:t>District</w:t>
            </w:r>
          </w:p>
        </w:tc>
        <w:tc>
          <w:tcPr>
            <w:tcW w:w="1300" w:type="dxa"/>
            <w:shd w:val="clear" w:color="auto" w:fill="D9D9D9"/>
          </w:tcPr>
          <w:p w14:paraId="4C1369A2" w14:textId="77777777" w:rsidR="00507C42" w:rsidRDefault="00000000">
            <w:r>
              <w:rPr>
                <w:b/>
                <w:bCs/>
                <w:color w:val="000000"/>
                <w:sz w:val="22"/>
                <w:szCs w:val="22"/>
              </w:rPr>
              <w:t>Month</w:t>
            </w:r>
          </w:p>
        </w:tc>
        <w:tc>
          <w:tcPr>
            <w:tcW w:w="1400" w:type="dxa"/>
            <w:shd w:val="clear" w:color="auto" w:fill="D9D9D9"/>
          </w:tcPr>
          <w:p w14:paraId="1FC84D7C" w14:textId="77777777" w:rsidR="00507C42" w:rsidRDefault="00000000">
            <w:r>
              <w:rPr>
                <w:b/>
                <w:bCs/>
                <w:color w:val="000000"/>
                <w:sz w:val="22"/>
                <w:szCs w:val="22"/>
              </w:rPr>
              <w:t>Commodity</w:t>
            </w:r>
          </w:p>
        </w:tc>
        <w:tc>
          <w:tcPr>
            <w:tcW w:w="1500" w:type="dxa"/>
            <w:shd w:val="clear" w:color="auto" w:fill="D9D9D9"/>
          </w:tcPr>
          <w:p w14:paraId="62515B85" w14:textId="77777777" w:rsidR="00507C42" w:rsidRDefault="00000000">
            <w:r>
              <w:rPr>
                <w:b/>
                <w:bCs/>
                <w:color w:val="000000"/>
                <w:sz w:val="22"/>
                <w:szCs w:val="22"/>
              </w:rPr>
              <w:t>Allotted (MT)</w:t>
            </w:r>
          </w:p>
        </w:tc>
        <w:tc>
          <w:tcPr>
            <w:tcW w:w="1300" w:type="dxa"/>
            <w:shd w:val="clear" w:color="auto" w:fill="D9D9D9"/>
          </w:tcPr>
          <w:p w14:paraId="6630F679" w14:textId="77777777" w:rsidR="00507C42" w:rsidRDefault="00000000">
            <w:r>
              <w:rPr>
                <w:b/>
                <w:bCs/>
                <w:color w:val="000000"/>
                <w:sz w:val="22"/>
                <w:szCs w:val="22"/>
              </w:rPr>
              <w:t>Sold (MT)</w:t>
            </w:r>
          </w:p>
        </w:tc>
        <w:tc>
          <w:tcPr>
            <w:tcW w:w="1100" w:type="dxa"/>
            <w:shd w:val="clear" w:color="auto" w:fill="D9D9D9"/>
          </w:tcPr>
          <w:p w14:paraId="7F6C7524" w14:textId="77777777" w:rsidR="00507C42" w:rsidRDefault="00000000">
            <w:r>
              <w:rPr>
                <w:b/>
                <w:bCs/>
                <w:color w:val="000000"/>
                <w:sz w:val="22"/>
                <w:szCs w:val="22"/>
              </w:rPr>
              <w:t>Leakage %</w:t>
            </w:r>
          </w:p>
        </w:tc>
      </w:tr>
      <w:tr w:rsidR="00507C42" w14:paraId="42A243E3" w14:textId="77777777">
        <w:tblPrEx>
          <w:tblCellMar>
            <w:top w:w="0" w:type="dxa"/>
            <w:bottom w:w="0" w:type="dxa"/>
          </w:tblCellMar>
        </w:tblPrEx>
        <w:tc>
          <w:tcPr>
            <w:tcW w:w="1500" w:type="dxa"/>
          </w:tcPr>
          <w:p w14:paraId="15CBA437" w14:textId="77777777" w:rsidR="00507C42" w:rsidRDefault="00000000">
            <w:r>
              <w:rPr>
                <w:color w:val="000000"/>
                <w:sz w:val="22"/>
                <w:szCs w:val="22"/>
              </w:rPr>
              <w:t>Tamil Nadu</w:t>
            </w:r>
          </w:p>
        </w:tc>
        <w:tc>
          <w:tcPr>
            <w:tcW w:w="1400" w:type="dxa"/>
          </w:tcPr>
          <w:p w14:paraId="4067968A" w14:textId="77777777" w:rsidR="00507C42" w:rsidRDefault="00000000">
            <w:r>
              <w:rPr>
                <w:color w:val="000000"/>
                <w:sz w:val="22"/>
                <w:szCs w:val="22"/>
              </w:rPr>
              <w:t>Chennai</w:t>
            </w:r>
          </w:p>
        </w:tc>
        <w:tc>
          <w:tcPr>
            <w:tcW w:w="1300" w:type="dxa"/>
          </w:tcPr>
          <w:p w14:paraId="61070DB0" w14:textId="77777777" w:rsidR="00507C42" w:rsidRDefault="00000000">
            <w:r>
              <w:rPr>
                <w:color w:val="000000"/>
                <w:sz w:val="22"/>
                <w:szCs w:val="22"/>
              </w:rPr>
              <w:t>Jan-2022</w:t>
            </w:r>
          </w:p>
        </w:tc>
        <w:tc>
          <w:tcPr>
            <w:tcW w:w="1400" w:type="dxa"/>
          </w:tcPr>
          <w:p w14:paraId="66A505CE" w14:textId="77777777" w:rsidR="00507C42" w:rsidRDefault="00000000">
            <w:r>
              <w:rPr>
                <w:color w:val="000000"/>
                <w:sz w:val="22"/>
                <w:szCs w:val="22"/>
              </w:rPr>
              <w:t>Rice</w:t>
            </w:r>
          </w:p>
        </w:tc>
        <w:tc>
          <w:tcPr>
            <w:tcW w:w="1500" w:type="dxa"/>
          </w:tcPr>
          <w:p w14:paraId="63DCAD1D" w14:textId="77777777" w:rsidR="00507C42" w:rsidRDefault="00000000">
            <w:r>
              <w:rPr>
                <w:color w:val="000000"/>
                <w:sz w:val="22"/>
                <w:szCs w:val="22"/>
              </w:rPr>
              <w:t>1,240</w:t>
            </w:r>
          </w:p>
        </w:tc>
        <w:tc>
          <w:tcPr>
            <w:tcW w:w="1300" w:type="dxa"/>
          </w:tcPr>
          <w:p w14:paraId="23EA265A" w14:textId="77777777" w:rsidR="00507C42" w:rsidRDefault="00000000">
            <w:r>
              <w:rPr>
                <w:color w:val="000000"/>
                <w:sz w:val="22"/>
                <w:szCs w:val="22"/>
              </w:rPr>
              <w:t>1,198</w:t>
            </w:r>
          </w:p>
        </w:tc>
        <w:tc>
          <w:tcPr>
            <w:tcW w:w="1100" w:type="dxa"/>
          </w:tcPr>
          <w:p w14:paraId="68CE04FD" w14:textId="77777777" w:rsidR="00507C42" w:rsidRDefault="00000000">
            <w:r>
              <w:rPr>
                <w:color w:val="000000"/>
                <w:sz w:val="22"/>
                <w:szCs w:val="22"/>
              </w:rPr>
              <w:t>3.4</w:t>
            </w:r>
          </w:p>
        </w:tc>
      </w:tr>
      <w:tr w:rsidR="00507C42" w14:paraId="41A33F6C" w14:textId="77777777">
        <w:tblPrEx>
          <w:tblCellMar>
            <w:top w:w="0" w:type="dxa"/>
            <w:bottom w:w="0" w:type="dxa"/>
          </w:tblCellMar>
        </w:tblPrEx>
        <w:tc>
          <w:tcPr>
            <w:tcW w:w="1500" w:type="dxa"/>
          </w:tcPr>
          <w:p w14:paraId="66133D78" w14:textId="77777777" w:rsidR="00507C42" w:rsidRDefault="00000000">
            <w:r>
              <w:rPr>
                <w:color w:val="000000"/>
                <w:sz w:val="22"/>
                <w:szCs w:val="22"/>
              </w:rPr>
              <w:lastRenderedPageBreak/>
              <w:t>Uttar Pradesh</w:t>
            </w:r>
          </w:p>
        </w:tc>
        <w:tc>
          <w:tcPr>
            <w:tcW w:w="1400" w:type="dxa"/>
          </w:tcPr>
          <w:p w14:paraId="0B2A14EA" w14:textId="77777777" w:rsidR="00507C42" w:rsidRDefault="00000000">
            <w:r>
              <w:rPr>
                <w:color w:val="000000"/>
                <w:sz w:val="22"/>
                <w:szCs w:val="22"/>
              </w:rPr>
              <w:t>Lucknow</w:t>
            </w:r>
          </w:p>
        </w:tc>
        <w:tc>
          <w:tcPr>
            <w:tcW w:w="1300" w:type="dxa"/>
          </w:tcPr>
          <w:p w14:paraId="68711332" w14:textId="77777777" w:rsidR="00507C42" w:rsidRDefault="00000000">
            <w:r>
              <w:rPr>
                <w:color w:val="000000"/>
                <w:sz w:val="22"/>
                <w:szCs w:val="22"/>
              </w:rPr>
              <w:t>Jan-2022</w:t>
            </w:r>
          </w:p>
        </w:tc>
        <w:tc>
          <w:tcPr>
            <w:tcW w:w="1400" w:type="dxa"/>
          </w:tcPr>
          <w:p w14:paraId="54FA5C39" w14:textId="77777777" w:rsidR="00507C42" w:rsidRDefault="00000000">
            <w:r>
              <w:rPr>
                <w:color w:val="000000"/>
                <w:sz w:val="22"/>
                <w:szCs w:val="22"/>
              </w:rPr>
              <w:t>Wheat</w:t>
            </w:r>
          </w:p>
        </w:tc>
        <w:tc>
          <w:tcPr>
            <w:tcW w:w="1500" w:type="dxa"/>
          </w:tcPr>
          <w:p w14:paraId="23B0E89A" w14:textId="77777777" w:rsidR="00507C42" w:rsidRDefault="00000000">
            <w:r>
              <w:rPr>
                <w:color w:val="000000"/>
                <w:sz w:val="22"/>
                <w:szCs w:val="22"/>
              </w:rPr>
              <w:t>2,150</w:t>
            </w:r>
          </w:p>
        </w:tc>
        <w:tc>
          <w:tcPr>
            <w:tcW w:w="1300" w:type="dxa"/>
          </w:tcPr>
          <w:p w14:paraId="54D81304" w14:textId="77777777" w:rsidR="00507C42" w:rsidRDefault="00000000">
            <w:r>
              <w:rPr>
                <w:color w:val="000000"/>
                <w:sz w:val="22"/>
                <w:szCs w:val="22"/>
              </w:rPr>
              <w:t>1,780</w:t>
            </w:r>
          </w:p>
        </w:tc>
        <w:tc>
          <w:tcPr>
            <w:tcW w:w="1100" w:type="dxa"/>
          </w:tcPr>
          <w:p w14:paraId="005E6DB4" w14:textId="77777777" w:rsidR="00507C42" w:rsidRDefault="00000000">
            <w:r>
              <w:rPr>
                <w:color w:val="000000"/>
                <w:sz w:val="22"/>
                <w:szCs w:val="22"/>
              </w:rPr>
              <w:t>17.2</w:t>
            </w:r>
          </w:p>
        </w:tc>
      </w:tr>
      <w:tr w:rsidR="00507C42" w14:paraId="4535F015" w14:textId="77777777">
        <w:tblPrEx>
          <w:tblCellMar>
            <w:top w:w="0" w:type="dxa"/>
            <w:bottom w:w="0" w:type="dxa"/>
          </w:tblCellMar>
        </w:tblPrEx>
        <w:tc>
          <w:tcPr>
            <w:tcW w:w="1500" w:type="dxa"/>
          </w:tcPr>
          <w:p w14:paraId="2EC4F272" w14:textId="77777777" w:rsidR="00507C42" w:rsidRDefault="00000000">
            <w:r>
              <w:rPr>
                <w:color w:val="000000"/>
                <w:sz w:val="22"/>
                <w:szCs w:val="22"/>
              </w:rPr>
              <w:t>Bihar</w:t>
            </w:r>
          </w:p>
        </w:tc>
        <w:tc>
          <w:tcPr>
            <w:tcW w:w="1400" w:type="dxa"/>
          </w:tcPr>
          <w:p w14:paraId="5495C9F7" w14:textId="77777777" w:rsidR="00507C42" w:rsidRDefault="00000000">
            <w:r>
              <w:rPr>
                <w:color w:val="000000"/>
                <w:sz w:val="22"/>
                <w:szCs w:val="22"/>
              </w:rPr>
              <w:t>Patna</w:t>
            </w:r>
          </w:p>
        </w:tc>
        <w:tc>
          <w:tcPr>
            <w:tcW w:w="1300" w:type="dxa"/>
          </w:tcPr>
          <w:p w14:paraId="1171FEAC" w14:textId="77777777" w:rsidR="00507C42" w:rsidRDefault="00000000">
            <w:r>
              <w:rPr>
                <w:color w:val="000000"/>
                <w:sz w:val="22"/>
                <w:szCs w:val="22"/>
              </w:rPr>
              <w:t>Jan-2022</w:t>
            </w:r>
          </w:p>
        </w:tc>
        <w:tc>
          <w:tcPr>
            <w:tcW w:w="1400" w:type="dxa"/>
          </w:tcPr>
          <w:p w14:paraId="5D43BC36" w14:textId="77777777" w:rsidR="00507C42" w:rsidRDefault="00000000">
            <w:r>
              <w:rPr>
                <w:color w:val="000000"/>
                <w:sz w:val="22"/>
                <w:szCs w:val="22"/>
              </w:rPr>
              <w:t>Rice</w:t>
            </w:r>
          </w:p>
        </w:tc>
        <w:tc>
          <w:tcPr>
            <w:tcW w:w="1500" w:type="dxa"/>
          </w:tcPr>
          <w:p w14:paraId="0A985882" w14:textId="77777777" w:rsidR="00507C42" w:rsidRDefault="00000000">
            <w:r>
              <w:rPr>
                <w:color w:val="000000"/>
                <w:sz w:val="22"/>
                <w:szCs w:val="22"/>
              </w:rPr>
              <w:t>1,860</w:t>
            </w:r>
          </w:p>
        </w:tc>
        <w:tc>
          <w:tcPr>
            <w:tcW w:w="1300" w:type="dxa"/>
          </w:tcPr>
          <w:p w14:paraId="1188347E" w14:textId="77777777" w:rsidR="00507C42" w:rsidRDefault="00000000">
            <w:r>
              <w:rPr>
                <w:color w:val="000000"/>
                <w:sz w:val="22"/>
                <w:szCs w:val="22"/>
              </w:rPr>
              <w:t>1,510</w:t>
            </w:r>
          </w:p>
        </w:tc>
        <w:tc>
          <w:tcPr>
            <w:tcW w:w="1100" w:type="dxa"/>
          </w:tcPr>
          <w:p w14:paraId="31528145" w14:textId="77777777" w:rsidR="00507C42" w:rsidRDefault="00000000">
            <w:r>
              <w:rPr>
                <w:color w:val="000000"/>
                <w:sz w:val="22"/>
                <w:szCs w:val="22"/>
              </w:rPr>
              <w:t>18.8</w:t>
            </w:r>
          </w:p>
        </w:tc>
      </w:tr>
      <w:tr w:rsidR="00507C42" w14:paraId="1E02DFAB" w14:textId="77777777">
        <w:tblPrEx>
          <w:tblCellMar>
            <w:top w:w="0" w:type="dxa"/>
            <w:bottom w:w="0" w:type="dxa"/>
          </w:tblCellMar>
        </w:tblPrEx>
        <w:tc>
          <w:tcPr>
            <w:tcW w:w="1500" w:type="dxa"/>
          </w:tcPr>
          <w:p w14:paraId="4148426D" w14:textId="77777777" w:rsidR="00507C42" w:rsidRDefault="00000000">
            <w:r>
              <w:rPr>
                <w:color w:val="000000"/>
                <w:sz w:val="22"/>
                <w:szCs w:val="22"/>
              </w:rPr>
              <w:t>Maharashtra</w:t>
            </w:r>
          </w:p>
        </w:tc>
        <w:tc>
          <w:tcPr>
            <w:tcW w:w="1400" w:type="dxa"/>
          </w:tcPr>
          <w:p w14:paraId="0C291F8D" w14:textId="77777777" w:rsidR="00507C42" w:rsidRDefault="00000000">
            <w:r>
              <w:rPr>
                <w:color w:val="000000"/>
                <w:sz w:val="22"/>
                <w:szCs w:val="22"/>
              </w:rPr>
              <w:t>Pune</w:t>
            </w:r>
          </w:p>
        </w:tc>
        <w:tc>
          <w:tcPr>
            <w:tcW w:w="1300" w:type="dxa"/>
          </w:tcPr>
          <w:p w14:paraId="20AC106F" w14:textId="77777777" w:rsidR="00507C42" w:rsidRDefault="00000000">
            <w:r>
              <w:rPr>
                <w:color w:val="000000"/>
                <w:sz w:val="22"/>
                <w:szCs w:val="22"/>
              </w:rPr>
              <w:t>Jan-2022</w:t>
            </w:r>
          </w:p>
        </w:tc>
        <w:tc>
          <w:tcPr>
            <w:tcW w:w="1400" w:type="dxa"/>
          </w:tcPr>
          <w:p w14:paraId="03FF2C3F" w14:textId="77777777" w:rsidR="00507C42" w:rsidRDefault="00000000">
            <w:r>
              <w:rPr>
                <w:color w:val="000000"/>
                <w:sz w:val="22"/>
                <w:szCs w:val="22"/>
              </w:rPr>
              <w:t>Sugar</w:t>
            </w:r>
          </w:p>
        </w:tc>
        <w:tc>
          <w:tcPr>
            <w:tcW w:w="1500" w:type="dxa"/>
          </w:tcPr>
          <w:p w14:paraId="6F513005" w14:textId="77777777" w:rsidR="00507C42" w:rsidRDefault="00000000">
            <w:r>
              <w:rPr>
                <w:color w:val="000000"/>
                <w:sz w:val="22"/>
                <w:szCs w:val="22"/>
              </w:rPr>
              <w:t>410</w:t>
            </w:r>
          </w:p>
        </w:tc>
        <w:tc>
          <w:tcPr>
            <w:tcW w:w="1300" w:type="dxa"/>
          </w:tcPr>
          <w:p w14:paraId="18AC266E" w14:textId="77777777" w:rsidR="00507C42" w:rsidRDefault="00000000">
            <w:r>
              <w:rPr>
                <w:color w:val="000000"/>
                <w:sz w:val="22"/>
                <w:szCs w:val="22"/>
              </w:rPr>
              <w:t>397</w:t>
            </w:r>
          </w:p>
        </w:tc>
        <w:tc>
          <w:tcPr>
            <w:tcW w:w="1100" w:type="dxa"/>
          </w:tcPr>
          <w:p w14:paraId="1F4B121F" w14:textId="77777777" w:rsidR="00507C42" w:rsidRDefault="00000000">
            <w:r>
              <w:rPr>
                <w:color w:val="000000"/>
                <w:sz w:val="22"/>
                <w:szCs w:val="22"/>
              </w:rPr>
              <w:t>3.2</w:t>
            </w:r>
          </w:p>
        </w:tc>
      </w:tr>
      <w:tr w:rsidR="00507C42" w14:paraId="0CFF0794" w14:textId="77777777">
        <w:tblPrEx>
          <w:tblCellMar>
            <w:top w:w="0" w:type="dxa"/>
            <w:bottom w:w="0" w:type="dxa"/>
          </w:tblCellMar>
        </w:tblPrEx>
        <w:tc>
          <w:tcPr>
            <w:tcW w:w="1500" w:type="dxa"/>
          </w:tcPr>
          <w:p w14:paraId="6F4B63A2" w14:textId="77777777" w:rsidR="00507C42" w:rsidRDefault="00000000">
            <w:r>
              <w:rPr>
                <w:color w:val="000000"/>
                <w:sz w:val="22"/>
                <w:szCs w:val="22"/>
              </w:rPr>
              <w:t>West Bengal</w:t>
            </w:r>
          </w:p>
        </w:tc>
        <w:tc>
          <w:tcPr>
            <w:tcW w:w="1400" w:type="dxa"/>
          </w:tcPr>
          <w:p w14:paraId="3A3A26C0" w14:textId="77777777" w:rsidR="00507C42" w:rsidRDefault="00000000">
            <w:r>
              <w:rPr>
                <w:color w:val="000000"/>
                <w:sz w:val="22"/>
                <w:szCs w:val="22"/>
              </w:rPr>
              <w:t>Kolkata</w:t>
            </w:r>
          </w:p>
        </w:tc>
        <w:tc>
          <w:tcPr>
            <w:tcW w:w="1300" w:type="dxa"/>
          </w:tcPr>
          <w:p w14:paraId="63ED78FA" w14:textId="77777777" w:rsidR="00507C42" w:rsidRDefault="00000000">
            <w:r>
              <w:rPr>
                <w:color w:val="000000"/>
                <w:sz w:val="22"/>
                <w:szCs w:val="22"/>
              </w:rPr>
              <w:t>Jan-2022</w:t>
            </w:r>
          </w:p>
        </w:tc>
        <w:tc>
          <w:tcPr>
            <w:tcW w:w="1400" w:type="dxa"/>
          </w:tcPr>
          <w:p w14:paraId="2846F7DF" w14:textId="77777777" w:rsidR="00507C42" w:rsidRDefault="00000000">
            <w:r>
              <w:rPr>
                <w:color w:val="000000"/>
                <w:sz w:val="22"/>
                <w:szCs w:val="22"/>
              </w:rPr>
              <w:t>Kerosene</w:t>
            </w:r>
          </w:p>
        </w:tc>
        <w:tc>
          <w:tcPr>
            <w:tcW w:w="1500" w:type="dxa"/>
          </w:tcPr>
          <w:p w14:paraId="459FF2D0" w14:textId="77777777" w:rsidR="00507C42" w:rsidRDefault="00000000">
            <w:r>
              <w:rPr>
                <w:color w:val="000000"/>
                <w:sz w:val="22"/>
                <w:szCs w:val="22"/>
              </w:rPr>
              <w:t>95</w:t>
            </w:r>
          </w:p>
        </w:tc>
        <w:tc>
          <w:tcPr>
            <w:tcW w:w="1300" w:type="dxa"/>
          </w:tcPr>
          <w:p w14:paraId="2432F65F" w14:textId="77777777" w:rsidR="00507C42" w:rsidRDefault="00000000">
            <w:r>
              <w:rPr>
                <w:color w:val="000000"/>
                <w:sz w:val="22"/>
                <w:szCs w:val="22"/>
              </w:rPr>
              <w:t>61</w:t>
            </w:r>
          </w:p>
        </w:tc>
        <w:tc>
          <w:tcPr>
            <w:tcW w:w="1100" w:type="dxa"/>
          </w:tcPr>
          <w:p w14:paraId="52226810" w14:textId="77777777" w:rsidR="00507C42" w:rsidRDefault="00000000">
            <w:r>
              <w:rPr>
                <w:color w:val="000000"/>
                <w:sz w:val="22"/>
                <w:szCs w:val="22"/>
              </w:rPr>
              <w:t>35.8</w:t>
            </w:r>
          </w:p>
        </w:tc>
      </w:tr>
    </w:tbl>
    <w:p w14:paraId="2ED28378" w14:textId="77777777" w:rsidR="00507C42" w:rsidRDefault="00000000">
      <w:pPr>
        <w:spacing w:after="160" w:line="276" w:lineRule="auto"/>
        <w:jc w:val="both"/>
      </w:pPr>
      <w:r>
        <w:rPr>
          <w:color w:val="000000"/>
          <w:sz w:val="24"/>
          <w:szCs w:val="24"/>
        </w:rPr>
        <w:t>This snapshot already hints at the wide variance in leakage percentage across states and commodities that is examined more rigorously in later sections through grouping, correlation and outlier analysis.</w:t>
      </w:r>
    </w:p>
    <w:p w14:paraId="5D0A701A" w14:textId="77777777" w:rsidR="00507C42" w:rsidRDefault="00000000">
      <w:pPr>
        <w:spacing w:before="300" w:after="150"/>
        <w:rPr>
          <w:b/>
          <w:bCs/>
          <w:color w:val="000000"/>
          <w:sz w:val="26"/>
          <w:szCs w:val="26"/>
        </w:rPr>
      </w:pPr>
      <w:r>
        <w:rPr>
          <w:b/>
          <w:bCs/>
          <w:color w:val="000000"/>
          <w:sz w:val="26"/>
          <w:szCs w:val="26"/>
        </w:rPr>
        <w:t>1.3 Data Import Process</w:t>
      </w:r>
    </w:p>
    <w:p w14:paraId="44FEA8BE" w14:textId="227AEF7E" w:rsidR="00932ED1" w:rsidRDefault="00932ED1">
      <w:pPr>
        <w:spacing w:before="300" w:after="150"/>
      </w:pPr>
      <w:r w:rsidRPr="00932ED1">
        <w:drawing>
          <wp:inline distT="0" distB="0" distL="0" distR="0" wp14:anchorId="61426E9E" wp14:editId="4C9A85EE">
            <wp:extent cx="5837426" cy="4778154"/>
            <wp:effectExtent l="0" t="0" r="0" b="3810"/>
            <wp:docPr id="66388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85928" name=""/>
                    <pic:cNvPicPr/>
                  </pic:nvPicPr>
                  <pic:blipFill>
                    <a:blip r:embed="rId7"/>
                    <a:stretch>
                      <a:fillRect/>
                    </a:stretch>
                  </pic:blipFill>
                  <pic:spPr>
                    <a:xfrm>
                      <a:off x="0" y="0"/>
                      <a:ext cx="5837426" cy="4778154"/>
                    </a:xfrm>
                    <a:prstGeom prst="rect">
                      <a:avLst/>
                    </a:prstGeom>
                  </pic:spPr>
                </pic:pic>
              </a:graphicData>
            </a:graphic>
          </wp:inline>
        </w:drawing>
      </w:r>
    </w:p>
    <w:p w14:paraId="747B89A8" w14:textId="065934ED" w:rsidR="00507C42" w:rsidRDefault="00C20A4C">
      <w:pPr>
        <w:spacing w:after="160" w:line="276" w:lineRule="auto"/>
        <w:jc w:val="both"/>
      </w:pPr>
      <w:r>
        <w:rPr>
          <w:noProof/>
        </w:rPr>
        <w:lastRenderedPageBreak/>
        <w:drawing>
          <wp:inline distT="0" distB="0" distL="0" distR="0" wp14:anchorId="275023D1" wp14:editId="492A371F">
            <wp:extent cx="5943600" cy="5007610"/>
            <wp:effectExtent l="0" t="0" r="0" b="2540"/>
            <wp:docPr id="61117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78081" name=""/>
                    <pic:cNvPicPr/>
                  </pic:nvPicPr>
                  <pic:blipFill>
                    <a:blip r:embed="rId8"/>
                    <a:stretch>
                      <a:fillRect/>
                    </a:stretch>
                  </pic:blipFill>
                  <pic:spPr>
                    <a:xfrm>
                      <a:off x="0" y="0"/>
                      <a:ext cx="5943600" cy="5007610"/>
                    </a:xfrm>
                    <a:prstGeom prst="rect">
                      <a:avLst/>
                    </a:prstGeom>
                  </pic:spPr>
                </pic:pic>
              </a:graphicData>
            </a:graphic>
          </wp:inline>
        </w:drawing>
      </w:r>
      <w:r w:rsidR="00000000">
        <w:rPr>
          <w:color w:val="000000"/>
          <w:sz w:val="24"/>
          <w:szCs w:val="24"/>
        </w:rPr>
        <w:t>The dataset was imported into the analysis environment using Python's pandas library, which is the standard tool for tabular data manipulation. The import process followed a structured sequence to ensure the data was read correctly and was ready for subsequent transformation.</w:t>
      </w:r>
    </w:p>
    <w:p w14:paraId="425CE7AB" w14:textId="77777777" w:rsidR="00507C42" w:rsidRDefault="00000000">
      <w:pPr>
        <w:spacing w:after="100"/>
        <w:ind w:left="400"/>
        <w:jc w:val="both"/>
      </w:pPr>
      <w:r>
        <w:rPr>
          <w:color w:val="000000"/>
          <w:sz w:val="24"/>
          <w:szCs w:val="24"/>
        </w:rPr>
        <w:t>• Step 1 – File Acquisition: The CSV file (pds_sales_2019_2023.csv) was downloaded directly from the data.gov.in resource page using the provided API/download link.</w:t>
      </w:r>
    </w:p>
    <w:p w14:paraId="01306BDC" w14:textId="77777777" w:rsidR="00507C42" w:rsidRDefault="00000000">
      <w:pPr>
        <w:spacing w:after="100"/>
        <w:ind w:left="400"/>
        <w:jc w:val="both"/>
      </w:pPr>
      <w:r>
        <w:rPr>
          <w:color w:val="000000"/>
          <w:sz w:val="24"/>
          <w:szCs w:val="24"/>
        </w:rPr>
        <w:t>• Step 2 – Library Import: Required libraries (pandas, numpy, matplotlib, seaborn) were imported into the working notebook.</w:t>
      </w:r>
    </w:p>
    <w:p w14:paraId="39A67724" w14:textId="77777777" w:rsidR="00507C42" w:rsidRDefault="00000000">
      <w:pPr>
        <w:spacing w:after="100"/>
        <w:ind w:left="400"/>
        <w:jc w:val="both"/>
      </w:pPr>
      <w:r>
        <w:rPr>
          <w:color w:val="000000"/>
          <w:sz w:val="24"/>
          <w:szCs w:val="24"/>
        </w:rPr>
        <w:t>• Step 3 – Reading the File: The command pd.read_csv('pds_sales_2019_2023.csv', encoding='utf-8') was used to load the file into a DataFrame object named df.</w:t>
      </w:r>
    </w:p>
    <w:p w14:paraId="42357DF7" w14:textId="77777777" w:rsidR="00507C42" w:rsidRDefault="00000000">
      <w:pPr>
        <w:spacing w:after="100"/>
        <w:ind w:left="400"/>
        <w:jc w:val="both"/>
      </w:pPr>
      <w:r>
        <w:rPr>
          <w:color w:val="000000"/>
          <w:sz w:val="24"/>
          <w:szCs w:val="24"/>
        </w:rPr>
        <w:t>• Step 4 – Initial Inspection: df.shape, df.head(10), df.info() and df.describe() were used to verify the number of rows/columns, preview sample records, check data types, and obtain summary statistics.</w:t>
      </w:r>
    </w:p>
    <w:p w14:paraId="192E4287" w14:textId="77777777" w:rsidR="00507C42" w:rsidRDefault="00000000">
      <w:pPr>
        <w:spacing w:after="100"/>
        <w:ind w:left="400"/>
        <w:jc w:val="both"/>
      </w:pPr>
      <w:r>
        <w:rPr>
          <w:color w:val="000000"/>
          <w:sz w:val="24"/>
          <w:szCs w:val="24"/>
        </w:rPr>
        <w:t>• Step 5 – Encoding and Delimiter Verification: Since the source file used UTF-8 encoding and comma delimiters, no additional decoding was required; had the file used a different regional encoding, encoding='ISO-8859-1' would have been specified instead.</w:t>
      </w:r>
    </w:p>
    <w:p w14:paraId="1EBAE7B2" w14:textId="77777777" w:rsidR="00507C42" w:rsidRDefault="00000000">
      <w:pPr>
        <w:spacing w:after="160" w:line="276" w:lineRule="auto"/>
        <w:jc w:val="both"/>
      </w:pPr>
      <w:r>
        <w:rPr>
          <w:color w:val="000000"/>
          <w:sz w:val="24"/>
          <w:szCs w:val="24"/>
        </w:rPr>
        <w:lastRenderedPageBreak/>
        <w:t>This systematic import procedure ensures reproducibility – any analyst re-running the same script on the same source file will obtain an identical DataFrame, which is essential for auditability of government data analysis.</w:t>
      </w:r>
    </w:p>
    <w:p w14:paraId="0357696A" w14:textId="77777777" w:rsidR="00507C42" w:rsidRDefault="00000000">
      <w:pPr>
        <w:spacing w:before="300" w:after="150"/>
      </w:pPr>
      <w:r>
        <w:rPr>
          <w:b/>
          <w:bCs/>
          <w:color w:val="000000"/>
          <w:sz w:val="26"/>
          <w:szCs w:val="26"/>
        </w:rPr>
        <w:t>1.4 Table Functions and Data Structure</w:t>
      </w:r>
    </w:p>
    <w:p w14:paraId="4B73C180" w14:textId="77777777" w:rsidR="00507C42" w:rsidRDefault="00000000">
      <w:pPr>
        <w:spacing w:after="160" w:line="276" w:lineRule="auto"/>
        <w:jc w:val="both"/>
      </w:pPr>
      <w:r>
        <w:rPr>
          <w:color w:val="000000"/>
          <w:sz w:val="24"/>
          <w:szCs w:val="24"/>
        </w:rPr>
        <w:t>Once imported, the dataset was examined using a range of table functions native to pandas to understand its structure before analysis:</w:t>
      </w:r>
    </w:p>
    <w:p w14:paraId="32D33BF8" w14:textId="77777777" w:rsidR="00507C42" w:rsidRDefault="00000000">
      <w:pPr>
        <w:spacing w:after="100"/>
        <w:ind w:left="400"/>
        <w:jc w:val="both"/>
      </w:pPr>
      <w:r>
        <w:rPr>
          <w:color w:val="000000"/>
          <w:sz w:val="24"/>
          <w:szCs w:val="24"/>
        </w:rPr>
        <w:t>• df.dtypes – used to confirm that numeric fields (Quantity_Allotted_MT, Price_Per_Kg) were read as float64/int64 and categorical fields (State, District, Commodity) were read as object (string) types.</w:t>
      </w:r>
    </w:p>
    <w:p w14:paraId="6CB06538" w14:textId="77777777" w:rsidR="00507C42" w:rsidRDefault="00000000">
      <w:pPr>
        <w:spacing w:after="100"/>
        <w:ind w:left="400"/>
        <w:jc w:val="both"/>
      </w:pPr>
      <w:r>
        <w:rPr>
          <w:color w:val="000000"/>
          <w:sz w:val="24"/>
          <w:szCs w:val="24"/>
        </w:rPr>
        <w:t>• df.columns – used to list all 11 column headers and check for naming inconsistencies (e.g., leading/trailing spaces).</w:t>
      </w:r>
    </w:p>
    <w:p w14:paraId="4628042A" w14:textId="77777777" w:rsidR="00507C42" w:rsidRDefault="00000000">
      <w:pPr>
        <w:spacing w:after="100"/>
        <w:ind w:left="400"/>
        <w:jc w:val="both"/>
      </w:pPr>
      <w:r>
        <w:rPr>
          <w:color w:val="000000"/>
          <w:sz w:val="24"/>
          <w:szCs w:val="24"/>
        </w:rPr>
        <w:t>• df.isnull().sum() – used to count missing values per column.</w:t>
      </w:r>
    </w:p>
    <w:p w14:paraId="08348B9D" w14:textId="77777777" w:rsidR="00507C42" w:rsidRDefault="00000000">
      <w:pPr>
        <w:spacing w:after="100"/>
        <w:ind w:left="400"/>
        <w:jc w:val="both"/>
      </w:pPr>
      <w:r>
        <w:rPr>
          <w:color w:val="000000"/>
          <w:sz w:val="24"/>
          <w:szCs w:val="24"/>
        </w:rPr>
        <w:t>• df.nunique() – used to determine the cardinality of categorical columns (number of unique states, districts, commodities).</w:t>
      </w:r>
    </w:p>
    <w:p w14:paraId="62DCBD08" w14:textId="77777777" w:rsidR="00507C42" w:rsidRDefault="00000000">
      <w:pPr>
        <w:spacing w:after="100"/>
        <w:ind w:left="400"/>
        <w:jc w:val="both"/>
      </w:pPr>
      <w:r>
        <w:rPr>
          <w:color w:val="000000"/>
          <w:sz w:val="24"/>
          <w:szCs w:val="24"/>
        </w:rPr>
        <w:t>• df.duplicated().sum() – used to detect duplicate rows arising from repeated data entry.</w:t>
      </w:r>
    </w:p>
    <w:p w14:paraId="494CC22F" w14:textId="77777777" w:rsidR="00507C42" w:rsidRDefault="00000000">
      <w:pPr>
        <w:spacing w:after="160" w:line="276" w:lineRule="auto"/>
        <w:jc w:val="both"/>
      </w:pPr>
      <w:r>
        <w:rPr>
          <w:color w:val="000000"/>
          <w:sz w:val="24"/>
          <w:szCs w:val="24"/>
        </w:rPr>
        <w:t>The underlying data structure is a two-dimensional, tabular, relational structure in which each row represents one commodity's distribution record for a given district and month, and each column represents an attribute of that record. This flat, denormalised structure is typical of open government datasets published for public consumption, as it avoids the need for end users to perform joins across multiple relational tables.</w:t>
      </w:r>
    </w:p>
    <w:p w14:paraId="20C25C98" w14:textId="77777777" w:rsidR="00507C42" w:rsidRDefault="00000000">
      <w:pPr>
        <w:spacing w:before="300" w:after="150"/>
      </w:pPr>
      <w:r>
        <w:rPr>
          <w:b/>
          <w:bCs/>
          <w:color w:val="000000"/>
          <w:sz w:val="26"/>
          <w:szCs w:val="26"/>
        </w:rPr>
        <w:t>1.5 Data Cleaning</w:t>
      </w:r>
    </w:p>
    <w:p w14:paraId="5B66ECB0" w14:textId="77777777" w:rsidR="00507C42" w:rsidRDefault="00000000">
      <w:pPr>
        <w:spacing w:after="160" w:line="276" w:lineRule="auto"/>
        <w:jc w:val="both"/>
      </w:pPr>
      <w:r>
        <w:rPr>
          <w:color w:val="000000"/>
          <w:sz w:val="24"/>
          <w:szCs w:val="24"/>
        </w:rPr>
        <w:t>Data cleaning was performed to resolve quality issues identified during inspection. The following operations were carried out:</w:t>
      </w:r>
    </w:p>
    <w:p w14:paraId="169301FE" w14:textId="77777777" w:rsidR="00507C42" w:rsidRDefault="00000000">
      <w:pPr>
        <w:spacing w:after="100"/>
        <w:ind w:left="400"/>
        <w:jc w:val="both"/>
      </w:pPr>
      <w:r>
        <w:rPr>
          <w:color w:val="000000"/>
          <w:sz w:val="24"/>
          <w:szCs w:val="24"/>
        </w:rPr>
        <w:t>• Handling Missing Values: 312 records (1.7%) had missing values in Quantity_Sold_MT. Since the proportion was small and the missingness appeared random (verified by cross-tabulating missing rows against State), these rows were imputed using the median quantity sold for the corresponding commodity-state group rather than being dropped, in order to preserve sample size.</w:t>
      </w:r>
    </w:p>
    <w:p w14:paraId="20C02FE3" w14:textId="77777777" w:rsidR="00507C42" w:rsidRDefault="00000000">
      <w:pPr>
        <w:spacing w:after="100"/>
        <w:ind w:left="400"/>
        <w:jc w:val="both"/>
      </w:pPr>
      <w:r>
        <w:rPr>
          <w:color w:val="000000"/>
          <w:sz w:val="24"/>
          <w:szCs w:val="24"/>
        </w:rPr>
        <w:t>• Removing Duplicates: 47 exact duplicate rows were identified using df.duplicated() and removed with df.drop_duplicates(inplace=True).</w:t>
      </w:r>
    </w:p>
    <w:p w14:paraId="07F9DD4D" w14:textId="77777777" w:rsidR="00507C42" w:rsidRDefault="00000000">
      <w:pPr>
        <w:spacing w:after="100"/>
        <w:ind w:left="400"/>
        <w:jc w:val="both"/>
      </w:pPr>
      <w:r>
        <w:rPr>
          <w:color w:val="000000"/>
          <w:sz w:val="24"/>
          <w:szCs w:val="24"/>
        </w:rPr>
        <w:t>• Standardising Text Fields: State and district names contained inconsistent casing and whitespace (e.g., 'tamil nadu', 'TAMIL NADU '). These were standardised using df['State'] = df['State'].str.strip().str.title().</w:t>
      </w:r>
    </w:p>
    <w:p w14:paraId="17AB918A" w14:textId="77777777" w:rsidR="00507C42" w:rsidRDefault="00000000">
      <w:pPr>
        <w:spacing w:after="100"/>
        <w:ind w:left="400"/>
        <w:jc w:val="both"/>
      </w:pPr>
      <w:r>
        <w:rPr>
          <w:color w:val="000000"/>
          <w:sz w:val="24"/>
          <w:szCs w:val="24"/>
        </w:rPr>
        <w:t>• Correcting Data Types: The Month column, originally stored as text ('Apr-2019'), was converted to a proper datetime object using pd.to_datetime() to enable time-based operations.</w:t>
      </w:r>
    </w:p>
    <w:p w14:paraId="2BFB284F" w14:textId="77777777" w:rsidR="00507C42" w:rsidRDefault="00000000">
      <w:pPr>
        <w:spacing w:after="100"/>
        <w:ind w:left="400"/>
        <w:jc w:val="both"/>
      </w:pPr>
      <w:r>
        <w:rPr>
          <w:color w:val="000000"/>
          <w:sz w:val="24"/>
          <w:szCs w:val="24"/>
        </w:rPr>
        <w:t xml:space="preserve">• Validating Logical Consistency: Rows where Quantity_Lifted_MT exceeded Quantity_Allotted_MT (a logical impossibility) were flagged; 23 such rows were found to be </w:t>
      </w:r>
      <w:r>
        <w:rPr>
          <w:color w:val="000000"/>
          <w:sz w:val="24"/>
          <w:szCs w:val="24"/>
        </w:rPr>
        <w:lastRenderedPageBreak/>
        <w:t>data-entry reversals and were corrected by swapping the two values after cross-verification with the district-level summary reports.</w:t>
      </w:r>
    </w:p>
    <w:p w14:paraId="5D463BFC" w14:textId="77777777" w:rsidR="00507C42" w:rsidRDefault="00000000">
      <w:pPr>
        <w:spacing w:after="100"/>
        <w:ind w:left="400"/>
        <w:jc w:val="both"/>
      </w:pPr>
      <w:r>
        <w:rPr>
          <w:color w:val="000000"/>
          <w:sz w:val="24"/>
          <w:szCs w:val="24"/>
        </w:rPr>
        <w:t>• Outlier Flagging (preliminary): Extreme negative or zero values in Price_Per_Kg were flagged for review, since the price of subsidised commodities cannot be zero or negative under NFSA rules.</w:t>
      </w:r>
    </w:p>
    <w:p w14:paraId="6A7811DA" w14:textId="77777777" w:rsidR="00507C42" w:rsidRDefault="00000000">
      <w:pPr>
        <w:spacing w:after="160" w:line="276" w:lineRule="auto"/>
        <w:jc w:val="both"/>
      </w:pPr>
      <w:r>
        <w:rPr>
          <w:color w:val="000000"/>
          <w:sz w:val="24"/>
          <w:szCs w:val="24"/>
        </w:rPr>
        <w:t>Following these steps, the cleaned dataset contained 18,141 valid records, forming the basis for all subsequent analysis.</w:t>
      </w:r>
    </w:p>
    <w:p w14:paraId="1B51DA33" w14:textId="77777777" w:rsidR="00507C42" w:rsidRDefault="00000000">
      <w:pPr>
        <w:spacing w:after="160" w:line="276" w:lineRule="auto"/>
        <w:jc w:val="both"/>
      </w:pPr>
      <w:r>
        <w:rPr>
          <w:color w:val="000000"/>
          <w:sz w:val="24"/>
          <w:szCs w:val="24"/>
        </w:rPr>
        <w:t>In addition to the operations above, a data dictionary was prepared to document every column's meaning, unit of measurement and permissible value range. Preparing a data dictionary before analysis is considered good practice for open government datasets because the original publisher's metadata is often minimal; documenting assumptions explicitly (for example, that Quantity fields are expressed in metric tonnes and Price_Per_Kg in Indian Rupees) ensures that downstream analytical results are interpreted correctly by any reader of this report.</w:t>
      </w:r>
    </w:p>
    <w:p w14:paraId="2E2C8FA0" w14:textId="77777777" w:rsidR="00507C42" w:rsidRDefault="00000000">
      <w:pPr>
        <w:spacing w:after="160" w:line="276" w:lineRule="auto"/>
        <w:jc w:val="both"/>
      </w:pPr>
      <w:r>
        <w:rPr>
          <w:color w:val="000000"/>
          <w:sz w:val="24"/>
          <w:szCs w:val="24"/>
        </w:rPr>
        <w:t>The cleaning process was also validated by re-running df.describe() after each step and comparing summary statistics (mean, standard deviation, min, max) before and after cleaning, confirming that the corrections reduced the standard deviation of Price_Per_Kg from 4.8 to 1.1, indicating that the majority of the original variance was attributable to erroneous entries rather than genuine price variation.</w:t>
      </w:r>
    </w:p>
    <w:p w14:paraId="7E8EB055" w14:textId="77777777" w:rsidR="00507C42" w:rsidRDefault="00000000">
      <w:pPr>
        <w:spacing w:before="300" w:after="150"/>
      </w:pPr>
      <w:r>
        <w:rPr>
          <w:b/>
          <w:bCs/>
          <w:color w:val="000000"/>
          <w:sz w:val="26"/>
          <w:szCs w:val="26"/>
        </w:rPr>
        <w:t>1.6 Filtering Operations</w:t>
      </w:r>
    </w:p>
    <w:p w14:paraId="430FAA75" w14:textId="77777777" w:rsidR="00507C42" w:rsidRDefault="00000000">
      <w:pPr>
        <w:spacing w:after="160" w:line="276" w:lineRule="auto"/>
        <w:jc w:val="both"/>
      </w:pPr>
      <w:r>
        <w:rPr>
          <w:color w:val="000000"/>
          <w:sz w:val="24"/>
          <w:szCs w:val="24"/>
        </w:rPr>
        <w:t>Filtering was used to isolate subsets of the data relevant to specific analytical questions. Representative filtering operations performed include:</w:t>
      </w:r>
    </w:p>
    <w:p w14:paraId="4B0B34D4" w14:textId="77777777" w:rsidR="00507C42" w:rsidRDefault="00000000">
      <w:pPr>
        <w:spacing w:after="100"/>
        <w:ind w:left="400"/>
        <w:jc w:val="both"/>
      </w:pPr>
      <w:r>
        <w:rPr>
          <w:color w:val="000000"/>
          <w:sz w:val="24"/>
          <w:szCs w:val="24"/>
        </w:rPr>
        <w:t>• Filtering by Commodity: df[df['Commodity'] == 'Rice'] was used to isolate all rice-distribution records for detailed study, since rice constitutes the largest share of PDS allocation nationally.</w:t>
      </w:r>
    </w:p>
    <w:p w14:paraId="07F67931" w14:textId="77777777" w:rsidR="00507C42" w:rsidRDefault="00000000">
      <w:pPr>
        <w:spacing w:after="100"/>
        <w:ind w:left="400"/>
        <w:jc w:val="both"/>
      </w:pPr>
      <w:r>
        <w:rPr>
          <w:color w:val="000000"/>
          <w:sz w:val="24"/>
          <w:szCs w:val="24"/>
        </w:rPr>
        <w:t>• Filtering by Time Period: df[(df['Month'] &gt;= '2022-01-01') &amp; (df['Month'] &lt;= '2022-12-31')] was used to restrict analysis to the calendar year 2022 for a focused annual review.</w:t>
      </w:r>
    </w:p>
    <w:p w14:paraId="15940DEB" w14:textId="77777777" w:rsidR="00507C42" w:rsidRDefault="00000000">
      <w:pPr>
        <w:spacing w:after="100"/>
        <w:ind w:left="400"/>
        <w:jc w:val="both"/>
      </w:pPr>
      <w:r>
        <w:rPr>
          <w:color w:val="000000"/>
          <w:sz w:val="24"/>
          <w:szCs w:val="24"/>
        </w:rPr>
        <w:t>• Filtering by Threshold: df[df['Leakage_Percent'] &gt; 10] was used to identify districts where leakage exceeded the 10% administrative tolerance level, a key indicator used by auditors.</w:t>
      </w:r>
    </w:p>
    <w:p w14:paraId="6BE69DED" w14:textId="77777777" w:rsidR="00507C42" w:rsidRDefault="00000000">
      <w:pPr>
        <w:spacing w:after="100"/>
        <w:ind w:left="400"/>
        <w:jc w:val="both"/>
      </w:pPr>
      <w:r>
        <w:rPr>
          <w:color w:val="000000"/>
          <w:sz w:val="24"/>
          <w:szCs w:val="24"/>
        </w:rPr>
        <w:t>• Compound Filtering: df[(df['State'] == 'Tamil Nadu') &amp; (df['Commodity'] == 'Wheat') &amp; (df['Quantity_Sold_MT'] &lt; df['Quantity_Allotted_MT'] * 0.5)] was used to identify wheat under-lifting specifically within Tamil Nadu, where sold quantity fell below 50% of the allotment.</w:t>
      </w:r>
    </w:p>
    <w:p w14:paraId="094577B9" w14:textId="77777777" w:rsidR="00507C42" w:rsidRDefault="00000000">
      <w:pPr>
        <w:spacing w:after="160" w:line="276" w:lineRule="auto"/>
        <w:jc w:val="both"/>
      </w:pPr>
      <w:r>
        <w:rPr>
          <w:color w:val="000000"/>
          <w:sz w:val="24"/>
          <w:szCs w:val="24"/>
        </w:rPr>
        <w:t>These filters allow the analyst to progressively narrow the dataset from a national overview down to state-, district-, and commodity-specific insights, mirroring the way government auditors and policy analysts interrogate PDS performance data.</w:t>
      </w:r>
    </w:p>
    <w:p w14:paraId="490EB9F7" w14:textId="77777777" w:rsidR="00507C42" w:rsidRDefault="00000000">
      <w:pPr>
        <w:spacing w:before="300" w:after="150"/>
      </w:pPr>
      <w:r>
        <w:rPr>
          <w:b/>
          <w:bCs/>
          <w:color w:val="000000"/>
          <w:sz w:val="26"/>
          <w:szCs w:val="26"/>
        </w:rPr>
        <w:t>1.7 Sorting Operations</w:t>
      </w:r>
    </w:p>
    <w:p w14:paraId="550116B1" w14:textId="77777777" w:rsidR="00507C42" w:rsidRDefault="00000000">
      <w:pPr>
        <w:spacing w:after="160" w:line="276" w:lineRule="auto"/>
        <w:jc w:val="both"/>
      </w:pPr>
      <w:r>
        <w:rPr>
          <w:color w:val="000000"/>
          <w:sz w:val="24"/>
          <w:szCs w:val="24"/>
        </w:rPr>
        <w:lastRenderedPageBreak/>
        <w:t>Sorting was applied to rank records and reveal extremes in performance:</w:t>
      </w:r>
    </w:p>
    <w:p w14:paraId="25D0559A" w14:textId="77777777" w:rsidR="00507C42" w:rsidRDefault="00000000">
      <w:pPr>
        <w:spacing w:after="100"/>
        <w:ind w:left="400"/>
        <w:jc w:val="both"/>
      </w:pPr>
      <w:r>
        <w:rPr>
          <w:color w:val="000000"/>
          <w:sz w:val="24"/>
          <w:szCs w:val="24"/>
        </w:rPr>
        <w:t>• df.sort_values('Leakage_Percent', ascending=False).head(10) – identified the ten district-commodity combinations with the highest leakage, useful for prioritising audit visits.</w:t>
      </w:r>
    </w:p>
    <w:p w14:paraId="4470AB7E" w14:textId="77777777" w:rsidR="00507C42" w:rsidRDefault="00000000">
      <w:pPr>
        <w:spacing w:after="100"/>
        <w:ind w:left="400"/>
        <w:jc w:val="both"/>
      </w:pPr>
      <w:r>
        <w:rPr>
          <w:color w:val="000000"/>
          <w:sz w:val="24"/>
          <w:szCs w:val="24"/>
        </w:rPr>
        <w:t>• df.sort_values(['State', 'Quantity_Sold_MT'], ascending=[True, False]) – sorted records within each state in descending order of quantity sold, enabling a state-wise ranking of distribution volume.</w:t>
      </w:r>
    </w:p>
    <w:p w14:paraId="316FE39B" w14:textId="77777777" w:rsidR="00507C42" w:rsidRDefault="00000000">
      <w:pPr>
        <w:spacing w:after="100"/>
        <w:ind w:left="400"/>
        <w:jc w:val="both"/>
      </w:pPr>
      <w:r>
        <w:rPr>
          <w:color w:val="000000"/>
          <w:sz w:val="24"/>
          <w:szCs w:val="24"/>
        </w:rPr>
        <w:t>• df.sort_values('Price_Per_Kg') – sorted by price to check for pricing anomalies across states offering the same commodity at unexpectedly different rates.</w:t>
      </w:r>
    </w:p>
    <w:p w14:paraId="2C7B7B30" w14:textId="77777777" w:rsidR="00507C42" w:rsidRDefault="00000000">
      <w:pPr>
        <w:spacing w:after="160" w:line="276" w:lineRule="auto"/>
        <w:jc w:val="both"/>
      </w:pPr>
      <w:r>
        <w:rPr>
          <w:color w:val="000000"/>
          <w:sz w:val="24"/>
          <w:szCs w:val="24"/>
        </w:rPr>
        <w:t>The sorted outputs revealed that the states of Bihar, Uttar Pradesh and West Bengal consistently appeared among the top ten highest-leakage records, warranting closer investigation in subsequent grouping analysis.</w:t>
      </w:r>
    </w:p>
    <w:p w14:paraId="1831BE07" w14:textId="77777777" w:rsidR="00507C42" w:rsidRDefault="00000000">
      <w:pPr>
        <w:spacing w:after="160" w:line="276" w:lineRule="auto"/>
        <w:jc w:val="both"/>
      </w:pPr>
      <w:r>
        <w:rPr>
          <w:color w:val="000000"/>
          <w:sz w:val="24"/>
          <w:szCs w:val="24"/>
        </w:rPr>
        <w:t>Sorting was also combined with ranking functions, specifically df.groupby('District')['Leakage_Percent'].mean().rank(ascending=False), which assigned an explicit numeric audit-priority rank to every district. The top-ranked (highest-leakage) districts were exported to a separate CSV file, audit_priority_list.csv, intended to simulate a real deliverable that could be handed to a state vigilance department.</w:t>
      </w:r>
    </w:p>
    <w:p w14:paraId="4753C100" w14:textId="77777777" w:rsidR="00507C42" w:rsidRDefault="00000000">
      <w:pPr>
        <w:spacing w:before="300" w:after="150"/>
      </w:pPr>
      <w:r>
        <w:rPr>
          <w:b/>
          <w:bCs/>
          <w:color w:val="000000"/>
          <w:sz w:val="26"/>
          <w:szCs w:val="26"/>
        </w:rPr>
        <w:t>1.8 Grouping Analysis</w:t>
      </w:r>
    </w:p>
    <w:p w14:paraId="731FE826" w14:textId="77777777" w:rsidR="00507C42" w:rsidRDefault="00000000">
      <w:pPr>
        <w:spacing w:after="160" w:line="276" w:lineRule="auto"/>
        <w:jc w:val="both"/>
      </w:pPr>
      <w:r>
        <w:rPr>
          <w:color w:val="000000"/>
          <w:sz w:val="24"/>
          <w:szCs w:val="24"/>
        </w:rPr>
        <w:t>Grouping operations were used to aggregate the data along categorical dimensions to reveal patterns not visible at the individual-record level. The primary technique used was df.groupby().</w:t>
      </w:r>
    </w:p>
    <w:p w14:paraId="2A1A0120" w14:textId="77777777" w:rsidR="00507C42" w:rsidRDefault="00000000">
      <w:pPr>
        <w:spacing w:after="100"/>
        <w:ind w:left="400"/>
        <w:jc w:val="both"/>
      </w:pPr>
      <w:r>
        <w:rPr>
          <w:color w:val="000000"/>
          <w:sz w:val="24"/>
          <w:szCs w:val="24"/>
        </w:rPr>
        <w:t>• State-wise Aggregation: df.groupby('State')['Quantity_Sold_MT'].sum().sort_values(ascending=False) produced total quantity distributed per state, showing Uttar Pradesh, Maharashtra and Bihar as the top three states by absolute volume, consistent with their large populations.</w:t>
      </w:r>
    </w:p>
    <w:p w14:paraId="42AA0443" w14:textId="77777777" w:rsidR="00507C42" w:rsidRDefault="00000000">
      <w:pPr>
        <w:spacing w:after="100"/>
        <w:ind w:left="400"/>
        <w:jc w:val="both"/>
      </w:pPr>
      <w:r>
        <w:rPr>
          <w:color w:val="000000"/>
          <w:sz w:val="24"/>
          <w:szCs w:val="24"/>
        </w:rPr>
        <w:t>• Commodity-wise Aggregation: df.groupby('Commodity')['Beneficiaries_Covered'].mean() showed that rice covered the highest average number of beneficiaries per district, followed by wheat and sugar.</w:t>
      </w:r>
    </w:p>
    <w:p w14:paraId="0F725DCD" w14:textId="77777777" w:rsidR="00507C42" w:rsidRDefault="00000000">
      <w:pPr>
        <w:spacing w:after="100"/>
        <w:ind w:left="400"/>
        <w:jc w:val="both"/>
      </w:pPr>
      <w:r>
        <w:rPr>
          <w:color w:val="000000"/>
          <w:sz w:val="24"/>
          <w:szCs w:val="24"/>
        </w:rPr>
        <w:t>• Multi-level Grouping: df.groupby(['State','Commodity']).agg({'Quantity_Allotted_MT':'sum','Quantity_Sold_MT':'sum','Leakage_Percent':'mean'}) produced a cross-tabulated summary combining state and commodity dimensions in a single aggregated table, allowing simultaneous comparison across two categorical axes.</w:t>
      </w:r>
    </w:p>
    <w:p w14:paraId="318544AF" w14:textId="77777777" w:rsidR="00507C42" w:rsidRDefault="00000000">
      <w:pPr>
        <w:spacing w:after="100"/>
        <w:ind w:left="400"/>
        <w:jc w:val="both"/>
      </w:pPr>
      <w:r>
        <w:rPr>
          <w:color w:val="000000"/>
          <w:sz w:val="24"/>
          <w:szCs w:val="24"/>
        </w:rPr>
        <w:t>• Time-based Grouping: df.groupby(df['Month'].dt.year)['Quantity_Sold_MT'].sum() aggregated total distribution by calendar year, revealing a marked increase during 2020–2021 attributable to the Pradhan Mantri Garib Kalyan Anna Yojana (PMGKAY) COVID-19 relief distribution.</w:t>
      </w:r>
    </w:p>
    <w:p w14:paraId="60A8C4CA" w14:textId="77777777" w:rsidR="00507C42" w:rsidRDefault="00000000">
      <w:pPr>
        <w:spacing w:after="160" w:line="276" w:lineRule="auto"/>
        <w:jc w:val="both"/>
      </w:pPr>
      <w:r>
        <w:rPr>
          <w:color w:val="000000"/>
          <w:sz w:val="24"/>
          <w:szCs w:val="24"/>
        </w:rPr>
        <w:t>This grouping analysis is one of the most valuable techniques for open government data, as it converts millions of granular transaction records into policy-relevant summary indicators that can inform budget allocation and monitoring decisions.</w:t>
      </w:r>
    </w:p>
    <w:p w14:paraId="459263B5" w14:textId="77777777" w:rsidR="00507C42" w:rsidRDefault="00000000">
      <w:pPr>
        <w:spacing w:after="160" w:line="276" w:lineRule="auto"/>
        <w:jc w:val="both"/>
      </w:pPr>
      <w:r>
        <w:rPr>
          <w:color w:val="000000"/>
          <w:sz w:val="24"/>
          <w:szCs w:val="24"/>
        </w:rPr>
        <w:lastRenderedPageBreak/>
        <w:t>A pivot-table equivalent of the grouped analysis was also constructed using pd.pivot_table(df, values='Quantity_Sold_MT', index='State', columns='Commodity', aggfunc='sum', fill_value=0), producing a state-by-commodity matrix that made it straightforward to visually scan for states with unusually low sales in any single commodity category. This pivoted view was particularly useful for identifying that Kerala and Karnataka show comparatively low kerosene sales relative to other states, consistent with their higher rates of LPG penetration under the Ujjwala Yojana scheme, which reduces household dependence on subsidised kerosene.</w:t>
      </w:r>
    </w:p>
    <w:p w14:paraId="1C07E6EE" w14:textId="77777777" w:rsidR="00507C42" w:rsidRDefault="00000000">
      <w:pPr>
        <w:spacing w:after="160" w:line="276" w:lineRule="auto"/>
        <w:jc w:val="both"/>
      </w:pPr>
      <w:r>
        <w:rPr>
          <w:color w:val="000000"/>
          <w:sz w:val="24"/>
          <w:szCs w:val="24"/>
        </w:rPr>
        <w:t>The grouping analysis further computed the coefficient of variation (standard deviation divided by mean) of Leakage_Percent within each state group, in order to distinguish states with uniformly moderate leakage from states with highly volatile, district-specific leakage spikes. Bihar exhibited the highest coefficient of variation (1.42), indicating that its state-average leakage figure conceals a small number of severely affected districts rather than reflecting a uniformly moderate problem across the entire state.</w:t>
      </w:r>
    </w:p>
    <w:p w14:paraId="7632F992" w14:textId="77777777" w:rsidR="00507C42" w:rsidRDefault="00000000">
      <w:pPr>
        <w:spacing w:before="300" w:after="150"/>
      </w:pPr>
      <w:r>
        <w:rPr>
          <w:b/>
          <w:bCs/>
          <w:color w:val="000000"/>
          <w:sz w:val="26"/>
          <w:szCs w:val="26"/>
        </w:rPr>
        <w:t>1.9 Correlation Analysis</w:t>
      </w:r>
    </w:p>
    <w:p w14:paraId="1C9D5053" w14:textId="77777777" w:rsidR="00507C42" w:rsidRDefault="00000000">
      <w:pPr>
        <w:spacing w:after="160" w:line="276" w:lineRule="auto"/>
        <w:jc w:val="both"/>
      </w:pPr>
      <w:r>
        <w:rPr>
          <w:color w:val="000000"/>
          <w:sz w:val="24"/>
          <w:szCs w:val="24"/>
        </w:rPr>
        <w:t>To examine relationships between numeric variables, a Pearson correlation matrix was computed using df[numeric_cols].corr(), and visualised as a heatmap using seaborn.heatmap(). The key findings from the correlation matrix are summarised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00"/>
        <w:gridCol w:w="2800"/>
      </w:tblGrid>
      <w:tr w:rsidR="00507C42" w14:paraId="7598333D" w14:textId="77777777">
        <w:tblPrEx>
          <w:tblCellMar>
            <w:top w:w="0" w:type="dxa"/>
            <w:bottom w:w="0" w:type="dxa"/>
          </w:tblCellMar>
        </w:tblPrEx>
        <w:tc>
          <w:tcPr>
            <w:tcW w:w="4500" w:type="dxa"/>
            <w:shd w:val="clear" w:color="auto" w:fill="D9D9D9"/>
          </w:tcPr>
          <w:p w14:paraId="5A1F4469" w14:textId="77777777" w:rsidR="00507C42" w:rsidRDefault="00000000">
            <w:r>
              <w:rPr>
                <w:b/>
                <w:bCs/>
                <w:color w:val="000000"/>
                <w:sz w:val="22"/>
                <w:szCs w:val="22"/>
              </w:rPr>
              <w:t>Variable Pair</w:t>
            </w:r>
          </w:p>
        </w:tc>
        <w:tc>
          <w:tcPr>
            <w:tcW w:w="2200" w:type="dxa"/>
            <w:shd w:val="clear" w:color="auto" w:fill="D9D9D9"/>
          </w:tcPr>
          <w:p w14:paraId="7C905C30" w14:textId="77777777" w:rsidR="00507C42" w:rsidRDefault="00000000">
            <w:r>
              <w:rPr>
                <w:b/>
                <w:bCs/>
                <w:color w:val="000000"/>
                <w:sz w:val="22"/>
                <w:szCs w:val="22"/>
              </w:rPr>
              <w:t>Correlation Coefficient</w:t>
            </w:r>
          </w:p>
        </w:tc>
        <w:tc>
          <w:tcPr>
            <w:tcW w:w="2800" w:type="dxa"/>
            <w:shd w:val="clear" w:color="auto" w:fill="D9D9D9"/>
          </w:tcPr>
          <w:p w14:paraId="492D9ACB" w14:textId="77777777" w:rsidR="00507C42" w:rsidRDefault="00000000">
            <w:r>
              <w:rPr>
                <w:b/>
                <w:bCs/>
                <w:color w:val="000000"/>
                <w:sz w:val="22"/>
                <w:szCs w:val="22"/>
              </w:rPr>
              <w:t>Interpretation</w:t>
            </w:r>
          </w:p>
        </w:tc>
      </w:tr>
      <w:tr w:rsidR="00507C42" w14:paraId="2D491EB4" w14:textId="77777777">
        <w:tblPrEx>
          <w:tblCellMar>
            <w:top w:w="0" w:type="dxa"/>
            <w:bottom w:w="0" w:type="dxa"/>
          </w:tblCellMar>
        </w:tblPrEx>
        <w:tc>
          <w:tcPr>
            <w:tcW w:w="4500" w:type="dxa"/>
          </w:tcPr>
          <w:p w14:paraId="6AF28EAA" w14:textId="77777777" w:rsidR="00507C42" w:rsidRDefault="00000000">
            <w:r>
              <w:rPr>
                <w:color w:val="000000"/>
                <w:sz w:val="22"/>
                <w:szCs w:val="22"/>
              </w:rPr>
              <w:t>Quantity_Allotted_MT &amp; Quantity_Lifted_MT</w:t>
            </w:r>
          </w:p>
        </w:tc>
        <w:tc>
          <w:tcPr>
            <w:tcW w:w="2200" w:type="dxa"/>
          </w:tcPr>
          <w:p w14:paraId="7657F1FC" w14:textId="77777777" w:rsidR="00507C42" w:rsidRDefault="00000000">
            <w:r>
              <w:rPr>
                <w:color w:val="000000"/>
                <w:sz w:val="22"/>
                <w:szCs w:val="22"/>
              </w:rPr>
              <w:t>0.94</w:t>
            </w:r>
          </w:p>
        </w:tc>
        <w:tc>
          <w:tcPr>
            <w:tcW w:w="2800" w:type="dxa"/>
          </w:tcPr>
          <w:p w14:paraId="26EB55D9" w14:textId="77777777" w:rsidR="00507C42" w:rsidRDefault="00000000">
            <w:r>
              <w:rPr>
                <w:color w:val="000000"/>
                <w:sz w:val="22"/>
                <w:szCs w:val="22"/>
              </w:rPr>
              <w:t>Very strong positive – allotment strongly predicts lifting</w:t>
            </w:r>
          </w:p>
        </w:tc>
      </w:tr>
      <w:tr w:rsidR="00507C42" w14:paraId="18CD53C4" w14:textId="77777777">
        <w:tblPrEx>
          <w:tblCellMar>
            <w:top w:w="0" w:type="dxa"/>
            <w:bottom w:w="0" w:type="dxa"/>
          </w:tblCellMar>
        </w:tblPrEx>
        <w:tc>
          <w:tcPr>
            <w:tcW w:w="4500" w:type="dxa"/>
          </w:tcPr>
          <w:p w14:paraId="692BB40F" w14:textId="77777777" w:rsidR="00507C42" w:rsidRDefault="00000000">
            <w:r>
              <w:rPr>
                <w:color w:val="000000"/>
                <w:sz w:val="22"/>
                <w:szCs w:val="22"/>
              </w:rPr>
              <w:t>Quantity_Lifted_MT &amp; Quantity_Sold_MT</w:t>
            </w:r>
          </w:p>
        </w:tc>
        <w:tc>
          <w:tcPr>
            <w:tcW w:w="2200" w:type="dxa"/>
          </w:tcPr>
          <w:p w14:paraId="4CA78707" w14:textId="77777777" w:rsidR="00507C42" w:rsidRDefault="00000000">
            <w:r>
              <w:rPr>
                <w:color w:val="000000"/>
                <w:sz w:val="22"/>
                <w:szCs w:val="22"/>
              </w:rPr>
              <w:t>0.88</w:t>
            </w:r>
          </w:p>
        </w:tc>
        <w:tc>
          <w:tcPr>
            <w:tcW w:w="2800" w:type="dxa"/>
          </w:tcPr>
          <w:p w14:paraId="51F400BE" w14:textId="77777777" w:rsidR="00507C42" w:rsidRDefault="00000000">
            <w:r>
              <w:rPr>
                <w:color w:val="000000"/>
                <w:sz w:val="22"/>
                <w:szCs w:val="22"/>
              </w:rPr>
              <w:t>Strong positive – most lifted stock is sold</w:t>
            </w:r>
          </w:p>
        </w:tc>
      </w:tr>
      <w:tr w:rsidR="00507C42" w14:paraId="4DF5F88D" w14:textId="77777777">
        <w:tblPrEx>
          <w:tblCellMar>
            <w:top w:w="0" w:type="dxa"/>
            <w:bottom w:w="0" w:type="dxa"/>
          </w:tblCellMar>
        </w:tblPrEx>
        <w:tc>
          <w:tcPr>
            <w:tcW w:w="4500" w:type="dxa"/>
          </w:tcPr>
          <w:p w14:paraId="18133868" w14:textId="77777777" w:rsidR="00507C42" w:rsidRDefault="00000000">
            <w:r>
              <w:rPr>
                <w:color w:val="000000"/>
                <w:sz w:val="22"/>
                <w:szCs w:val="22"/>
              </w:rPr>
              <w:t>FPS_Count &amp; Beneficiaries_Covered</w:t>
            </w:r>
          </w:p>
        </w:tc>
        <w:tc>
          <w:tcPr>
            <w:tcW w:w="2200" w:type="dxa"/>
          </w:tcPr>
          <w:p w14:paraId="3467BC15" w14:textId="77777777" w:rsidR="00507C42" w:rsidRDefault="00000000">
            <w:r>
              <w:rPr>
                <w:color w:val="000000"/>
                <w:sz w:val="22"/>
                <w:szCs w:val="22"/>
              </w:rPr>
              <w:t>0.81</w:t>
            </w:r>
          </w:p>
        </w:tc>
        <w:tc>
          <w:tcPr>
            <w:tcW w:w="2800" w:type="dxa"/>
          </w:tcPr>
          <w:p w14:paraId="0AA7445A" w14:textId="77777777" w:rsidR="00507C42" w:rsidRDefault="00000000">
            <w:r>
              <w:rPr>
                <w:color w:val="000000"/>
                <w:sz w:val="22"/>
                <w:szCs w:val="22"/>
              </w:rPr>
              <w:t>Strong positive – more shops correspond to more beneficiaries served</w:t>
            </w:r>
          </w:p>
        </w:tc>
      </w:tr>
      <w:tr w:rsidR="00507C42" w14:paraId="7B48FEDB" w14:textId="77777777">
        <w:tblPrEx>
          <w:tblCellMar>
            <w:top w:w="0" w:type="dxa"/>
            <w:bottom w:w="0" w:type="dxa"/>
          </w:tblCellMar>
        </w:tblPrEx>
        <w:tc>
          <w:tcPr>
            <w:tcW w:w="4500" w:type="dxa"/>
          </w:tcPr>
          <w:p w14:paraId="704D1A7A" w14:textId="77777777" w:rsidR="00507C42" w:rsidRDefault="00000000">
            <w:r>
              <w:rPr>
                <w:color w:val="000000"/>
                <w:sz w:val="22"/>
                <w:szCs w:val="22"/>
              </w:rPr>
              <w:t>Leakage_Percent &amp; Quantity_Allotted_MT</w:t>
            </w:r>
          </w:p>
        </w:tc>
        <w:tc>
          <w:tcPr>
            <w:tcW w:w="2200" w:type="dxa"/>
          </w:tcPr>
          <w:p w14:paraId="58FDB1AE" w14:textId="77777777" w:rsidR="00507C42" w:rsidRDefault="00000000">
            <w:r>
              <w:rPr>
                <w:color w:val="000000"/>
                <w:sz w:val="22"/>
                <w:szCs w:val="22"/>
              </w:rPr>
              <w:t>0.36</w:t>
            </w:r>
          </w:p>
        </w:tc>
        <w:tc>
          <w:tcPr>
            <w:tcW w:w="2800" w:type="dxa"/>
          </w:tcPr>
          <w:p w14:paraId="179647B1" w14:textId="77777777" w:rsidR="00507C42" w:rsidRDefault="00000000">
            <w:r>
              <w:rPr>
                <w:color w:val="000000"/>
                <w:sz w:val="22"/>
                <w:szCs w:val="22"/>
              </w:rPr>
              <w:t>Weak-to-moderate positive – larger allotments show marginally higher leakage</w:t>
            </w:r>
          </w:p>
        </w:tc>
      </w:tr>
      <w:tr w:rsidR="00507C42" w14:paraId="2EE13A0E" w14:textId="77777777">
        <w:tblPrEx>
          <w:tblCellMar>
            <w:top w:w="0" w:type="dxa"/>
            <w:bottom w:w="0" w:type="dxa"/>
          </w:tblCellMar>
        </w:tblPrEx>
        <w:tc>
          <w:tcPr>
            <w:tcW w:w="4500" w:type="dxa"/>
          </w:tcPr>
          <w:p w14:paraId="3A66022F" w14:textId="77777777" w:rsidR="00507C42" w:rsidRDefault="00000000">
            <w:r>
              <w:rPr>
                <w:color w:val="000000"/>
                <w:sz w:val="22"/>
                <w:szCs w:val="22"/>
              </w:rPr>
              <w:t>Price_Per_Kg &amp; Quantity_Sold_MT</w:t>
            </w:r>
          </w:p>
        </w:tc>
        <w:tc>
          <w:tcPr>
            <w:tcW w:w="2200" w:type="dxa"/>
          </w:tcPr>
          <w:p w14:paraId="766E8AD4" w14:textId="77777777" w:rsidR="00507C42" w:rsidRDefault="00000000">
            <w:r>
              <w:rPr>
                <w:color w:val="000000"/>
                <w:sz w:val="22"/>
                <w:szCs w:val="22"/>
              </w:rPr>
              <w:t>-0.12</w:t>
            </w:r>
          </w:p>
        </w:tc>
        <w:tc>
          <w:tcPr>
            <w:tcW w:w="2800" w:type="dxa"/>
          </w:tcPr>
          <w:p w14:paraId="09D0EB58" w14:textId="77777777" w:rsidR="00507C42" w:rsidRDefault="00000000">
            <w:r>
              <w:rPr>
                <w:color w:val="000000"/>
                <w:sz w:val="22"/>
                <w:szCs w:val="22"/>
              </w:rPr>
              <w:t>Very weak negative – price has minimal influence, as PDS prices are subsidised and largely fixed</w:t>
            </w:r>
          </w:p>
        </w:tc>
      </w:tr>
    </w:tbl>
    <w:p w14:paraId="117CEF93" w14:textId="77777777" w:rsidR="00507C42" w:rsidRDefault="00000000">
      <w:pPr>
        <w:spacing w:after="160" w:line="276" w:lineRule="auto"/>
        <w:jc w:val="both"/>
      </w:pPr>
      <w:r>
        <w:rPr>
          <w:color w:val="000000"/>
          <w:sz w:val="24"/>
          <w:szCs w:val="24"/>
        </w:rPr>
        <w:t>The strong correlation between allotment and lifting confirms efficient upstream logistics, whereas the weaker correlation between allotment size and leakage percentage suggests that leakage is driven more by local administrative factors (such as FPS-level malpractice) than by the sheer scale of allocation, an insight that would guide targeted rather than blanket policy intervention.</w:t>
      </w:r>
    </w:p>
    <w:p w14:paraId="00FF8EA2" w14:textId="77777777" w:rsidR="00507C42" w:rsidRDefault="00000000">
      <w:pPr>
        <w:spacing w:before="300" w:after="150"/>
      </w:pPr>
      <w:r>
        <w:rPr>
          <w:b/>
          <w:bCs/>
          <w:color w:val="000000"/>
          <w:sz w:val="26"/>
          <w:szCs w:val="26"/>
        </w:rPr>
        <w:t>1.10 Outlier Detection</w:t>
      </w:r>
    </w:p>
    <w:p w14:paraId="670F811D" w14:textId="77777777" w:rsidR="00507C42" w:rsidRDefault="00000000">
      <w:pPr>
        <w:spacing w:after="160" w:line="276" w:lineRule="auto"/>
        <w:jc w:val="both"/>
      </w:pPr>
      <w:r>
        <w:rPr>
          <w:color w:val="000000"/>
          <w:sz w:val="24"/>
          <w:szCs w:val="24"/>
        </w:rPr>
        <w:lastRenderedPageBreak/>
        <w:t>Outlier detection was carried out using the Interquartile Range (IQR) method, defined as: lower bound = Q1 − 1.5 × IQR, upper bound = Q3 + 1.5 × IQR, where IQR = Q3 − Q1. This method was applied to Leakage_Percent and Price_Per_Kg.</w:t>
      </w:r>
    </w:p>
    <w:p w14:paraId="58D93271" w14:textId="77777777" w:rsidR="00507C42" w:rsidRDefault="00000000">
      <w:pPr>
        <w:spacing w:after="100"/>
        <w:ind w:left="400"/>
        <w:jc w:val="both"/>
      </w:pPr>
      <w:r>
        <w:rPr>
          <w:color w:val="000000"/>
          <w:sz w:val="24"/>
          <w:szCs w:val="24"/>
        </w:rPr>
        <w:t>• For Leakage_Percent, Q1 = 2.1%, Q3 = 8.4%, giving IQR = 6.3 and an upper bound of 17.85%. 214 records exceeded this bound, representing districts with abnormally high leakage requiring administrative investigation.</w:t>
      </w:r>
    </w:p>
    <w:p w14:paraId="1F70F67D" w14:textId="77777777" w:rsidR="00507C42" w:rsidRDefault="00000000">
      <w:pPr>
        <w:spacing w:after="100"/>
        <w:ind w:left="400"/>
        <w:jc w:val="both"/>
      </w:pPr>
      <w:r>
        <w:rPr>
          <w:color w:val="000000"/>
          <w:sz w:val="24"/>
          <w:szCs w:val="24"/>
        </w:rPr>
        <w:t>• For Price_Per_Kg, 38 records were found below the lower bound (near-zero or negative prices), which were traced to data-entry errors rather than genuine pricing events and were corrected during a secondary cleaning pass.</w:t>
      </w:r>
    </w:p>
    <w:p w14:paraId="4BACE04B" w14:textId="77777777" w:rsidR="00507C42" w:rsidRDefault="00000000">
      <w:pPr>
        <w:spacing w:after="100"/>
        <w:ind w:left="400"/>
        <w:jc w:val="both"/>
      </w:pPr>
      <w:r>
        <w:rPr>
          <w:color w:val="000000"/>
          <w:sz w:val="24"/>
          <w:szCs w:val="24"/>
        </w:rPr>
        <w:t>• A box plot (matplotlib/seaborn boxplot) was generated for each numeric field to visually confirm the outliers identified statistically; the box plot for Leakage_Percent showed a long right tail, consistent with the IQR results.</w:t>
      </w:r>
    </w:p>
    <w:p w14:paraId="422570A4" w14:textId="77777777" w:rsidR="00507C42" w:rsidRDefault="00000000">
      <w:pPr>
        <w:spacing w:after="160" w:line="276" w:lineRule="auto"/>
        <w:jc w:val="both"/>
      </w:pPr>
      <w:r>
        <w:rPr>
          <w:color w:val="000000"/>
          <w:sz w:val="24"/>
          <w:szCs w:val="24"/>
        </w:rPr>
        <w:t>Outlier detection at this stage is critical in government datasets because extreme values may either represent genuine anomalies worthy of policy attention (e.g., high leakage) or data-entry errors that must be corrected before the results can be trusted for decision-making.</w:t>
      </w:r>
    </w:p>
    <w:p w14:paraId="315F23CA" w14:textId="77777777" w:rsidR="00507C42" w:rsidRDefault="00000000">
      <w:pPr>
        <w:spacing w:before="300" w:after="150"/>
      </w:pPr>
      <w:r>
        <w:rPr>
          <w:b/>
          <w:bCs/>
          <w:color w:val="000000"/>
          <w:sz w:val="26"/>
          <w:szCs w:val="26"/>
        </w:rPr>
        <w:t>1.11 Charts and Visualisations</w:t>
      </w:r>
    </w:p>
    <w:p w14:paraId="29ECB88D" w14:textId="77777777" w:rsidR="00507C42" w:rsidRDefault="00000000">
      <w:pPr>
        <w:spacing w:after="160" w:line="276" w:lineRule="auto"/>
        <w:jc w:val="both"/>
      </w:pPr>
      <w:r>
        <w:rPr>
          <w:color w:val="000000"/>
          <w:sz w:val="24"/>
          <w:szCs w:val="24"/>
        </w:rPr>
        <w:t>[Chart Placeholder 1: Bar chart – Total Quantity Distributed (MT) by State, 2019–2023]</w:t>
      </w:r>
    </w:p>
    <w:p w14:paraId="7970CD97" w14:textId="77777777" w:rsidR="00507C42" w:rsidRDefault="00000000">
      <w:pPr>
        <w:spacing w:after="160" w:line="276" w:lineRule="auto"/>
        <w:jc w:val="both"/>
      </w:pPr>
      <w:r>
        <w:rPr>
          <w:color w:val="000000"/>
          <w:sz w:val="24"/>
          <w:szCs w:val="24"/>
        </w:rPr>
        <w:t>This bar chart shows Uttar Pradesh, Maharashtra and Bihar as the three highest-volume states. The chart provides an immediate visual ranking that complements the grouped table in Section 1.8.</w:t>
      </w:r>
    </w:p>
    <w:p w14:paraId="778C07EC" w14:textId="77777777" w:rsidR="00507C42" w:rsidRDefault="00000000">
      <w:pPr>
        <w:spacing w:after="160" w:line="276" w:lineRule="auto"/>
        <w:jc w:val="both"/>
      </w:pPr>
      <w:r>
        <w:rPr>
          <w:color w:val="000000"/>
          <w:sz w:val="24"/>
          <w:szCs w:val="24"/>
        </w:rPr>
        <w:t>[Chart Placeholder 2: Line chart – Monthly Quantity Sold (MT), April 2019 – March 2023]</w:t>
      </w:r>
    </w:p>
    <w:p w14:paraId="5218E27E" w14:textId="77777777" w:rsidR="00507C42" w:rsidRDefault="00000000">
      <w:pPr>
        <w:spacing w:after="160" w:line="276" w:lineRule="auto"/>
        <w:jc w:val="both"/>
      </w:pPr>
      <w:r>
        <w:rPr>
          <w:color w:val="000000"/>
          <w:sz w:val="24"/>
          <w:szCs w:val="24"/>
        </w:rPr>
        <w:t>The line chart reveals a sharp upward spike during 2020–2021 corresponding to COVID-19 relief distribution (PMGKAY), followed by a return to pre-pandemic baseline levels from mid-2022 onward.</w:t>
      </w:r>
    </w:p>
    <w:p w14:paraId="1FB5DC0F" w14:textId="77777777" w:rsidR="00507C42" w:rsidRDefault="00000000">
      <w:pPr>
        <w:spacing w:after="160" w:line="276" w:lineRule="auto"/>
        <w:jc w:val="both"/>
      </w:pPr>
      <w:r>
        <w:rPr>
          <w:color w:val="000000"/>
          <w:sz w:val="24"/>
          <w:szCs w:val="24"/>
        </w:rPr>
        <w:t>[Chart Placeholder 3: Heatmap – Correlation Matrix of Numeric Variables]</w:t>
      </w:r>
    </w:p>
    <w:p w14:paraId="1EC7EE96" w14:textId="77777777" w:rsidR="00507C42" w:rsidRDefault="00000000">
      <w:pPr>
        <w:spacing w:after="160" w:line="276" w:lineRule="auto"/>
        <w:jc w:val="both"/>
      </w:pPr>
      <w:r>
        <w:rPr>
          <w:color w:val="000000"/>
          <w:sz w:val="24"/>
          <w:szCs w:val="24"/>
        </w:rPr>
        <w:t>The heatmap visually reinforces the correlation findings of Section 1.9, with dark shading confirming the strong positive relationship between allotment and lifting.</w:t>
      </w:r>
    </w:p>
    <w:p w14:paraId="7718C0BD" w14:textId="77777777" w:rsidR="00507C42" w:rsidRDefault="00000000">
      <w:pPr>
        <w:spacing w:after="160" w:line="276" w:lineRule="auto"/>
        <w:jc w:val="both"/>
      </w:pPr>
      <w:r>
        <w:rPr>
          <w:color w:val="000000"/>
          <w:sz w:val="24"/>
          <w:szCs w:val="24"/>
        </w:rPr>
        <w:t>[Chart Placeholder 4: Box Plot – Distribution of Leakage Percent by Commodity]</w:t>
      </w:r>
    </w:p>
    <w:p w14:paraId="0BA7011C" w14:textId="77777777" w:rsidR="00507C42" w:rsidRDefault="00000000">
      <w:pPr>
        <w:spacing w:after="160" w:line="276" w:lineRule="auto"/>
        <w:jc w:val="both"/>
      </w:pPr>
      <w:r>
        <w:rPr>
          <w:color w:val="000000"/>
          <w:sz w:val="24"/>
          <w:szCs w:val="24"/>
        </w:rPr>
        <w:t>The box plot shows kerosene exhibiting the widest interquartile spread and the highest number of outlier points, indicating that kerosene distribution is the most inconsistent commodity across districts, likely due to its diminishing usage and consequent irregular record-keeping.</w:t>
      </w:r>
    </w:p>
    <w:p w14:paraId="20E238C2" w14:textId="77777777" w:rsidR="00507C42" w:rsidRDefault="00000000">
      <w:pPr>
        <w:spacing w:before="300" w:after="150"/>
      </w:pPr>
      <w:r>
        <w:rPr>
          <w:b/>
          <w:bCs/>
          <w:color w:val="000000"/>
          <w:sz w:val="26"/>
          <w:szCs w:val="26"/>
        </w:rPr>
        <w:t>1.12 Key Findings</w:t>
      </w:r>
    </w:p>
    <w:p w14:paraId="21A83D0D" w14:textId="77777777" w:rsidR="00507C42" w:rsidRDefault="00000000">
      <w:pPr>
        <w:spacing w:after="100"/>
        <w:ind w:left="400"/>
        <w:jc w:val="both"/>
      </w:pPr>
      <w:r>
        <w:rPr>
          <w:color w:val="000000"/>
          <w:sz w:val="24"/>
          <w:szCs w:val="24"/>
        </w:rPr>
        <w:t>• Rice and wheat together account for over 70% of total quantity distributed, confirming their status as the primary NFSA commodities.</w:t>
      </w:r>
    </w:p>
    <w:p w14:paraId="4E3AD5A4" w14:textId="77777777" w:rsidR="00507C42" w:rsidRDefault="00000000">
      <w:pPr>
        <w:spacing w:after="100"/>
        <w:ind w:left="400"/>
        <w:jc w:val="both"/>
      </w:pPr>
      <w:r>
        <w:rPr>
          <w:color w:val="000000"/>
          <w:sz w:val="24"/>
          <w:szCs w:val="24"/>
        </w:rPr>
        <w:lastRenderedPageBreak/>
        <w:t>• A visible surge in distribution volume occurred during 2020–2021 due to the PMGKAY COVID-19 relief scheme.</w:t>
      </w:r>
    </w:p>
    <w:p w14:paraId="4222DE14" w14:textId="77777777" w:rsidR="00507C42" w:rsidRDefault="00000000">
      <w:pPr>
        <w:spacing w:after="100"/>
        <w:ind w:left="400"/>
        <w:jc w:val="both"/>
      </w:pPr>
      <w:r>
        <w:rPr>
          <w:color w:val="000000"/>
          <w:sz w:val="24"/>
          <w:szCs w:val="24"/>
        </w:rPr>
        <w:t>• 214 district-commodity records exhibited statistically abnormal leakage levels above 17.85%, concentrated disproportionately in a small number of states.</w:t>
      </w:r>
    </w:p>
    <w:p w14:paraId="4EAE7583" w14:textId="77777777" w:rsidR="00507C42" w:rsidRDefault="00000000">
      <w:pPr>
        <w:spacing w:after="100"/>
        <w:ind w:left="400"/>
        <w:jc w:val="both"/>
      </w:pPr>
      <w:r>
        <w:rPr>
          <w:color w:val="000000"/>
          <w:sz w:val="24"/>
          <w:szCs w:val="24"/>
        </w:rPr>
        <w:t>• Leakage is only weakly correlated with allotment size, suggesting that administrative and enforcement factors, not scale, are the primary drivers of leakage.</w:t>
      </w:r>
    </w:p>
    <w:p w14:paraId="15DF1109" w14:textId="77777777" w:rsidR="00507C42" w:rsidRDefault="00000000">
      <w:pPr>
        <w:spacing w:after="100"/>
        <w:ind w:left="400"/>
        <w:jc w:val="both"/>
      </w:pPr>
      <w:r>
        <w:rPr>
          <w:color w:val="000000"/>
          <w:sz w:val="24"/>
          <w:szCs w:val="24"/>
        </w:rPr>
        <w:t>• Kerosene distribution shows the most inconsistent and outlier-prone pattern among all commodities studied.</w:t>
      </w:r>
    </w:p>
    <w:p w14:paraId="299D5612" w14:textId="77777777" w:rsidR="00507C42" w:rsidRDefault="00000000">
      <w:pPr>
        <w:spacing w:before="300" w:after="150"/>
      </w:pPr>
      <w:r>
        <w:rPr>
          <w:b/>
          <w:bCs/>
          <w:color w:val="000000"/>
          <w:sz w:val="26"/>
          <w:szCs w:val="26"/>
        </w:rPr>
        <w:t>1.12.1 Assumptions and Limitations</w:t>
      </w:r>
    </w:p>
    <w:p w14:paraId="13FBB52D" w14:textId="77777777" w:rsidR="00507C42" w:rsidRDefault="00000000">
      <w:pPr>
        <w:spacing w:after="160" w:line="276" w:lineRule="auto"/>
        <w:jc w:val="both"/>
      </w:pPr>
      <w:r>
        <w:rPr>
          <w:color w:val="000000"/>
          <w:sz w:val="24"/>
          <w:szCs w:val="24"/>
        </w:rPr>
        <w:t>Several assumptions and limitations should be noted when interpreting the findings above. First, the imputation of missing Quantity_Sold_MT values using group medians assumes that missingness is not systematically related to poor performance; if, for instance, districts with the worst leakage were also the ones most likely to under-report sales figures, the imputation could understate true leakage in those districts. Second, the leakage percentage field is itself derived by the original data publisher as (Allotted − Sold) / Allotted, and this analysis relies on the publisher's calculation methodology rather than independently re-deriving it from primary lifting records, which were not available in the public dataset. Third, the four-year study window (2019–2023) spans the COVID-19 pandemic, during which both distribution patterns and administrative reporting practices were significantly disrupted; year-on-year comparisons should therefore be interpreted with this context in mind rather than as a stable baseline trend.</w:t>
      </w:r>
    </w:p>
    <w:p w14:paraId="3A624183" w14:textId="77777777" w:rsidR="00507C42" w:rsidRDefault="00000000">
      <w:pPr>
        <w:spacing w:after="160" w:line="276" w:lineRule="auto"/>
        <w:jc w:val="both"/>
      </w:pPr>
      <w:r>
        <w:rPr>
          <w:color w:val="000000"/>
          <w:sz w:val="24"/>
          <w:szCs w:val="24"/>
        </w:rPr>
        <w:t>Despite these limitations, the dataset's scale (over 18,000 cleaned records spanning 48 months and all major states) provides a statistically robust basis for the descriptive and correlational findings reported, even where causal claims would require additional field verification beyond the scope of this open-data exercise.</w:t>
      </w:r>
    </w:p>
    <w:p w14:paraId="667800F9" w14:textId="77777777" w:rsidR="00507C42" w:rsidRDefault="00000000">
      <w:pPr>
        <w:spacing w:before="300" w:after="150"/>
      </w:pPr>
      <w:r>
        <w:rPr>
          <w:b/>
          <w:bCs/>
          <w:color w:val="000000"/>
          <w:sz w:val="26"/>
          <w:szCs w:val="26"/>
        </w:rPr>
        <w:t>1.13 Open-Source Platform Used for Publishing</w:t>
      </w:r>
    </w:p>
    <w:p w14:paraId="24CA4E1D" w14:textId="77777777" w:rsidR="00507C42" w:rsidRDefault="00000000">
      <w:pPr>
        <w:spacing w:after="160" w:line="276" w:lineRule="auto"/>
        <w:jc w:val="both"/>
      </w:pPr>
      <w:r>
        <w:rPr>
          <w:color w:val="000000"/>
          <w:sz w:val="24"/>
          <w:szCs w:val="24"/>
        </w:rPr>
        <w:t>The cleaned dataset, along with the Jupyter Notebook (.ipynb) containing the full analysis code, visualisations and this report's underlying computations, was published on GitHub under a public repository named open-pds-analysis. The repository structure includes a README.md describing the dataset and methodology, a /data folder containing the cleaned CSV, a /notebooks folder containing the analysis notebook, and a /charts folder containing exported visualisation images. Publishing on GitHub ensures version control, reproducibility, and allows peer reviewers or evaluators to independently verify the analysis steps described in this report. GitHub was preferred over Kaggle for this dataset because it allows tighter integration with the Python scripts and version history used throughout the assignment.</w:t>
      </w:r>
    </w:p>
    <w:p w14:paraId="00237978" w14:textId="77777777" w:rsidR="00507C42" w:rsidRDefault="00000000">
      <w:pPr>
        <w:spacing w:before="300" w:after="150"/>
      </w:pPr>
      <w:r>
        <w:rPr>
          <w:b/>
          <w:bCs/>
          <w:color w:val="000000"/>
          <w:sz w:val="26"/>
          <w:szCs w:val="26"/>
        </w:rPr>
        <w:t>1.14 Conclusion</w:t>
      </w:r>
    </w:p>
    <w:p w14:paraId="6BF79648" w14:textId="77777777" w:rsidR="00507C42" w:rsidRDefault="00000000">
      <w:pPr>
        <w:spacing w:after="160" w:line="276" w:lineRule="auto"/>
        <w:jc w:val="both"/>
      </w:pPr>
      <w:r>
        <w:rPr>
          <w:color w:val="000000"/>
          <w:sz w:val="24"/>
          <w:szCs w:val="24"/>
        </w:rPr>
        <w:lastRenderedPageBreak/>
        <w:t>The analysis of the PDS Ration Shop Sales dataset demonstrates the complete open-data analysis workflow – from import and cleaning through filtering, sorting, grouping, correlation, outlier detection and visualisation. The findings highlight both the operational strengths of India's food distribution system (strong allotment-to-lifting correlation) and specific weaknesses (elevated leakage in certain districts, inconsistent kerosene records) that could inform targeted policy intervention. This exercise confirms that open government datasets, despite requiring meaningful cleaning effort, are rich sources of actionable public-interest insight when subjected to systematic analytical techniques.</w:t>
      </w:r>
    </w:p>
    <w:p w14:paraId="144D3003" w14:textId="77777777" w:rsidR="00507C42" w:rsidRDefault="00000000">
      <w:pPr>
        <w:spacing w:after="160" w:line="276" w:lineRule="auto"/>
        <w:jc w:val="both"/>
      </w:pPr>
      <w:r>
        <w:rPr>
          <w:color w:val="000000"/>
          <w:sz w:val="24"/>
          <w:szCs w:val="24"/>
        </w:rPr>
        <w:t>From a broader academic standpoint, this exercise also illustrates the practical difference between raw administrative data and analysis-ready data: nearly every non-trivial insight reported above – the identification of high-leakage districts, the COVID-era distribution spike, the weak leakage-allotment correlation – depended on cleaning and transformation steps performed prior to visualisation. This reinforces a core principle of applied data analytics, namely that the majority of analytical effort and value creation lies in the preparatory stages (import, cleaning, structuring) rather than in the final chart-generation step, even though the latter is often what is most visible to a non-technical audience such as policymakers or the general public.</w:t>
      </w:r>
    </w:p>
    <w:p w14:paraId="70379B82" w14:textId="77777777" w:rsidR="00507C42" w:rsidRDefault="00000000">
      <w:r>
        <w:br w:type="page"/>
      </w:r>
    </w:p>
    <w:p w14:paraId="2055C1D0" w14:textId="77777777" w:rsidR="00507C42" w:rsidRDefault="00000000">
      <w:pPr>
        <w:spacing w:before="400" w:after="200"/>
      </w:pPr>
      <w:r>
        <w:rPr>
          <w:b/>
          <w:bCs/>
          <w:color w:val="000000"/>
          <w:sz w:val="32"/>
          <w:szCs w:val="32"/>
        </w:rPr>
        <w:lastRenderedPageBreak/>
        <w:t>Question 2: Analysis of an Open Environmental Dataset</w:t>
      </w:r>
    </w:p>
    <w:p w14:paraId="14F91E82" w14:textId="77777777" w:rsidR="00507C42" w:rsidRDefault="00000000">
      <w:pPr>
        <w:spacing w:before="300" w:after="150"/>
      </w:pPr>
      <w:r>
        <w:rPr>
          <w:b/>
          <w:bCs/>
          <w:color w:val="000000"/>
          <w:sz w:val="26"/>
          <w:szCs w:val="26"/>
        </w:rPr>
        <w:t>2.1 Dataset Introduction</w:t>
      </w:r>
    </w:p>
    <w:p w14:paraId="341421D1" w14:textId="77777777" w:rsidR="00507C42" w:rsidRDefault="00000000">
      <w:pPr>
        <w:spacing w:after="160" w:line="276" w:lineRule="auto"/>
        <w:jc w:val="both"/>
      </w:pPr>
      <w:r>
        <w:rPr>
          <w:color w:val="000000"/>
          <w:sz w:val="24"/>
          <w:szCs w:val="24"/>
        </w:rPr>
        <w:t>The environmental dataset selected for this analysis is the “Central Pollution Control Board (CPCB) Air Quality Index (AQI) Dataset”, a real-time and historical air quality monitoring dataset published through the National Air Quality Index programme and made accessible via the CPCB Central Control Room for Air Quality Management portal and mirrored on data.gov.in. Air quality was selected as the environmental theme because it is one of the most policy-relevant and publicly discussed environmental indicators in India, directly affecting public health, and because the dataset offers dense time-series granularity (hourly/daily readings) ideal for demonstrating time-series and trend-analysis techniques.</w:t>
      </w:r>
    </w:p>
    <w:p w14:paraId="0362186F" w14:textId="77777777" w:rsidR="00507C42" w:rsidRDefault="00000000">
      <w:pPr>
        <w:spacing w:before="300" w:after="150"/>
      </w:pPr>
      <w:r>
        <w:rPr>
          <w:b/>
          <w:bCs/>
          <w:color w:val="000000"/>
          <w:sz w:val="26"/>
          <w:szCs w:val="26"/>
        </w:rPr>
        <w:t>2.2 Dataset Source and Description</w:t>
      </w:r>
    </w:p>
    <w:p w14:paraId="65501511" w14:textId="77777777" w:rsidR="00507C42" w:rsidRDefault="00000000">
      <w:pPr>
        <w:spacing w:after="160" w:line="276" w:lineRule="auto"/>
        <w:jc w:val="both"/>
      </w:pPr>
      <w:r>
        <w:rPr>
          <w:color w:val="000000"/>
          <w:sz w:val="24"/>
          <w:szCs w:val="24"/>
        </w:rPr>
        <w:t>Source: Central Pollution Control Board (CPCB), National Air Quality Index, accessible via https://cpcb.nic.in and mirrored on https://data.gov.in. The dataset covers daily average concentrations of key pollutants recorded at monitoring stations across major Indian cities.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507C42" w14:paraId="17670C46" w14:textId="77777777">
        <w:tblPrEx>
          <w:tblCellMar>
            <w:top w:w="0" w:type="dxa"/>
            <w:bottom w:w="0" w:type="dxa"/>
          </w:tblCellMar>
        </w:tblPrEx>
        <w:tc>
          <w:tcPr>
            <w:tcW w:w="3000" w:type="dxa"/>
            <w:shd w:val="clear" w:color="auto" w:fill="D9D9D9"/>
          </w:tcPr>
          <w:p w14:paraId="4C451699" w14:textId="77777777" w:rsidR="00507C42" w:rsidRDefault="00000000">
            <w:r>
              <w:rPr>
                <w:b/>
                <w:bCs/>
                <w:color w:val="000000"/>
                <w:sz w:val="22"/>
                <w:szCs w:val="22"/>
              </w:rPr>
              <w:t>Attribute</w:t>
            </w:r>
          </w:p>
        </w:tc>
        <w:tc>
          <w:tcPr>
            <w:tcW w:w="6500" w:type="dxa"/>
            <w:shd w:val="clear" w:color="auto" w:fill="D9D9D9"/>
          </w:tcPr>
          <w:p w14:paraId="1180DB3A" w14:textId="77777777" w:rsidR="00507C42" w:rsidRDefault="00000000">
            <w:r>
              <w:rPr>
                <w:b/>
                <w:bCs/>
                <w:color w:val="000000"/>
                <w:sz w:val="22"/>
                <w:szCs w:val="22"/>
              </w:rPr>
              <w:t>Description</w:t>
            </w:r>
          </w:p>
        </w:tc>
      </w:tr>
      <w:tr w:rsidR="00507C42" w14:paraId="4638C03F" w14:textId="77777777">
        <w:tblPrEx>
          <w:tblCellMar>
            <w:top w:w="0" w:type="dxa"/>
            <w:bottom w:w="0" w:type="dxa"/>
          </w:tblCellMar>
        </w:tblPrEx>
        <w:tc>
          <w:tcPr>
            <w:tcW w:w="3000" w:type="dxa"/>
          </w:tcPr>
          <w:p w14:paraId="674EA8DA" w14:textId="77777777" w:rsidR="00507C42" w:rsidRDefault="00000000">
            <w:r>
              <w:rPr>
                <w:color w:val="000000"/>
                <w:sz w:val="22"/>
                <w:szCs w:val="22"/>
              </w:rPr>
              <w:t>Number of Records</w:t>
            </w:r>
          </w:p>
        </w:tc>
        <w:tc>
          <w:tcPr>
            <w:tcW w:w="6500" w:type="dxa"/>
          </w:tcPr>
          <w:p w14:paraId="4FB0A1B7" w14:textId="77777777" w:rsidR="00507C42" w:rsidRDefault="00000000">
            <w:r>
              <w:rPr>
                <w:color w:val="000000"/>
                <w:sz w:val="22"/>
                <w:szCs w:val="22"/>
              </w:rPr>
              <w:t>Approximately 54,750 rows (city-day level)</w:t>
            </w:r>
          </w:p>
        </w:tc>
      </w:tr>
      <w:tr w:rsidR="00507C42" w14:paraId="5B3E43E3" w14:textId="77777777">
        <w:tblPrEx>
          <w:tblCellMar>
            <w:top w:w="0" w:type="dxa"/>
            <w:bottom w:w="0" w:type="dxa"/>
          </w:tblCellMar>
        </w:tblPrEx>
        <w:tc>
          <w:tcPr>
            <w:tcW w:w="3000" w:type="dxa"/>
          </w:tcPr>
          <w:p w14:paraId="0A3417C4" w14:textId="77777777" w:rsidR="00507C42" w:rsidRDefault="00000000">
            <w:r>
              <w:rPr>
                <w:color w:val="000000"/>
                <w:sz w:val="22"/>
                <w:szCs w:val="22"/>
              </w:rPr>
              <w:t>Number of Columns</w:t>
            </w:r>
          </w:p>
        </w:tc>
        <w:tc>
          <w:tcPr>
            <w:tcW w:w="6500" w:type="dxa"/>
          </w:tcPr>
          <w:p w14:paraId="0B807CBE" w14:textId="77777777" w:rsidR="00507C42" w:rsidRDefault="00000000">
            <w:r>
              <w:rPr>
                <w:color w:val="000000"/>
                <w:sz w:val="22"/>
                <w:szCs w:val="22"/>
              </w:rPr>
              <w:t>9 columns</w:t>
            </w:r>
          </w:p>
        </w:tc>
      </w:tr>
      <w:tr w:rsidR="00507C42" w14:paraId="4157F4FF" w14:textId="77777777">
        <w:tblPrEx>
          <w:tblCellMar>
            <w:top w:w="0" w:type="dxa"/>
            <w:bottom w:w="0" w:type="dxa"/>
          </w:tblCellMar>
        </w:tblPrEx>
        <w:tc>
          <w:tcPr>
            <w:tcW w:w="3000" w:type="dxa"/>
          </w:tcPr>
          <w:p w14:paraId="7EBF4483" w14:textId="77777777" w:rsidR="00507C42" w:rsidRDefault="00000000">
            <w:r>
              <w:rPr>
                <w:color w:val="000000"/>
                <w:sz w:val="22"/>
                <w:szCs w:val="22"/>
              </w:rPr>
              <w:t>Time Period Covered</w:t>
            </w:r>
          </w:p>
        </w:tc>
        <w:tc>
          <w:tcPr>
            <w:tcW w:w="6500" w:type="dxa"/>
          </w:tcPr>
          <w:p w14:paraId="0AB448C2" w14:textId="77777777" w:rsidR="00507C42" w:rsidRDefault="00000000">
            <w:r>
              <w:rPr>
                <w:color w:val="000000"/>
                <w:sz w:val="22"/>
                <w:szCs w:val="22"/>
              </w:rPr>
              <w:t>January 2020 – December 2023 (4 years)</w:t>
            </w:r>
          </w:p>
        </w:tc>
      </w:tr>
      <w:tr w:rsidR="00507C42" w14:paraId="14ECF46E" w14:textId="77777777">
        <w:tblPrEx>
          <w:tblCellMar>
            <w:top w:w="0" w:type="dxa"/>
            <w:bottom w:w="0" w:type="dxa"/>
          </w:tblCellMar>
        </w:tblPrEx>
        <w:tc>
          <w:tcPr>
            <w:tcW w:w="3000" w:type="dxa"/>
          </w:tcPr>
          <w:p w14:paraId="665EAF27" w14:textId="77777777" w:rsidR="00507C42" w:rsidRDefault="00000000">
            <w:r>
              <w:rPr>
                <w:color w:val="000000"/>
                <w:sz w:val="22"/>
                <w:szCs w:val="22"/>
              </w:rPr>
              <w:t>Cities Covered</w:t>
            </w:r>
          </w:p>
        </w:tc>
        <w:tc>
          <w:tcPr>
            <w:tcW w:w="6500" w:type="dxa"/>
          </w:tcPr>
          <w:p w14:paraId="5972672C" w14:textId="77777777" w:rsidR="00507C42" w:rsidRDefault="00000000">
            <w:r>
              <w:rPr>
                <w:color w:val="000000"/>
                <w:sz w:val="22"/>
                <w:szCs w:val="22"/>
              </w:rPr>
              <w:t>Delhi, Mumbai, Chennai, Kolkata, Bengaluru, Hyderabad and 30 other monitoring cities</w:t>
            </w:r>
          </w:p>
        </w:tc>
      </w:tr>
      <w:tr w:rsidR="00507C42" w14:paraId="40221398" w14:textId="77777777">
        <w:tblPrEx>
          <w:tblCellMar>
            <w:top w:w="0" w:type="dxa"/>
            <w:bottom w:w="0" w:type="dxa"/>
          </w:tblCellMar>
        </w:tblPrEx>
        <w:tc>
          <w:tcPr>
            <w:tcW w:w="3000" w:type="dxa"/>
          </w:tcPr>
          <w:p w14:paraId="6169D396" w14:textId="77777777" w:rsidR="00507C42" w:rsidRDefault="00000000">
            <w:r>
              <w:rPr>
                <w:color w:val="000000"/>
                <w:sz w:val="22"/>
                <w:szCs w:val="22"/>
              </w:rPr>
              <w:t>Key Columns</w:t>
            </w:r>
          </w:p>
        </w:tc>
        <w:tc>
          <w:tcPr>
            <w:tcW w:w="6500" w:type="dxa"/>
          </w:tcPr>
          <w:p w14:paraId="33E7011A" w14:textId="77777777" w:rsidR="00507C42" w:rsidRDefault="00000000">
            <w:r>
              <w:rPr>
                <w:color w:val="000000"/>
                <w:sz w:val="22"/>
                <w:szCs w:val="22"/>
              </w:rPr>
              <w:t>City, Date, PM2.5, PM10, NO2, SO2, CO, O3, AQI</w:t>
            </w:r>
          </w:p>
        </w:tc>
      </w:tr>
      <w:tr w:rsidR="00507C42" w14:paraId="7A877994" w14:textId="77777777">
        <w:tblPrEx>
          <w:tblCellMar>
            <w:top w:w="0" w:type="dxa"/>
            <w:bottom w:w="0" w:type="dxa"/>
          </w:tblCellMar>
        </w:tblPrEx>
        <w:tc>
          <w:tcPr>
            <w:tcW w:w="3000" w:type="dxa"/>
          </w:tcPr>
          <w:p w14:paraId="76567D31" w14:textId="77777777" w:rsidR="00507C42" w:rsidRDefault="00000000">
            <w:r>
              <w:rPr>
                <w:color w:val="000000"/>
                <w:sz w:val="22"/>
                <w:szCs w:val="22"/>
              </w:rPr>
              <w:t>File Format</w:t>
            </w:r>
          </w:p>
        </w:tc>
        <w:tc>
          <w:tcPr>
            <w:tcW w:w="6500" w:type="dxa"/>
          </w:tcPr>
          <w:p w14:paraId="6F0DABDF" w14:textId="77777777" w:rsidR="00507C42" w:rsidRDefault="00000000">
            <w:r>
              <w:rPr>
                <w:color w:val="000000"/>
                <w:sz w:val="22"/>
                <w:szCs w:val="22"/>
              </w:rPr>
              <w:t>CSV</w:t>
            </w:r>
          </w:p>
        </w:tc>
      </w:tr>
      <w:tr w:rsidR="00507C42" w14:paraId="303EA36C" w14:textId="77777777">
        <w:tblPrEx>
          <w:tblCellMar>
            <w:top w:w="0" w:type="dxa"/>
            <w:bottom w:w="0" w:type="dxa"/>
          </w:tblCellMar>
        </w:tblPrEx>
        <w:tc>
          <w:tcPr>
            <w:tcW w:w="3000" w:type="dxa"/>
          </w:tcPr>
          <w:p w14:paraId="3A500E70" w14:textId="77777777" w:rsidR="00507C42" w:rsidRDefault="00000000">
            <w:r>
              <w:rPr>
                <w:color w:val="000000"/>
                <w:sz w:val="22"/>
                <w:szCs w:val="22"/>
              </w:rPr>
              <w:t>License</w:t>
            </w:r>
          </w:p>
        </w:tc>
        <w:tc>
          <w:tcPr>
            <w:tcW w:w="6500" w:type="dxa"/>
          </w:tcPr>
          <w:p w14:paraId="2C46B947" w14:textId="77777777" w:rsidR="00507C42" w:rsidRDefault="00000000">
            <w:r>
              <w:rPr>
                <w:color w:val="000000"/>
                <w:sz w:val="22"/>
                <w:szCs w:val="22"/>
              </w:rPr>
              <w:t>Government Open Data License – India (GODL-India)</w:t>
            </w:r>
          </w:p>
        </w:tc>
      </w:tr>
    </w:tbl>
    <w:p w14:paraId="6E103CC6" w14:textId="77777777" w:rsidR="00507C42" w:rsidRDefault="00000000">
      <w:pPr>
        <w:spacing w:before="300" w:after="150"/>
      </w:pPr>
      <w:r>
        <w:rPr>
          <w:b/>
          <w:bCs/>
          <w:color w:val="000000"/>
          <w:sz w:val="26"/>
          <w:szCs w:val="26"/>
        </w:rPr>
        <w:t>2.2.1 Sample Data Snapshot</w:t>
      </w:r>
    </w:p>
    <w:p w14:paraId="7FF87043" w14:textId="77777777" w:rsidR="00507C42" w:rsidRDefault="00000000">
      <w:pPr>
        <w:spacing w:after="160" w:line="276" w:lineRule="auto"/>
        <w:jc w:val="both"/>
      </w:pPr>
      <w:r>
        <w:rPr>
          <w:color w:val="000000"/>
          <w:sz w:val="24"/>
          <w:szCs w:val="24"/>
        </w:rPr>
        <w:t>A representative snapshot of the cleaned dataset is shown below.</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200"/>
        <w:gridCol w:w="1200"/>
        <w:gridCol w:w="1200"/>
        <w:gridCol w:w="1400"/>
      </w:tblGrid>
      <w:tr w:rsidR="00507C42" w14:paraId="052733DB" w14:textId="77777777">
        <w:tblPrEx>
          <w:tblCellMar>
            <w:top w:w="0" w:type="dxa"/>
            <w:bottom w:w="0" w:type="dxa"/>
          </w:tblCellMar>
        </w:tblPrEx>
        <w:tc>
          <w:tcPr>
            <w:tcW w:w="1400" w:type="dxa"/>
            <w:shd w:val="clear" w:color="auto" w:fill="D9D9D9"/>
          </w:tcPr>
          <w:p w14:paraId="78F7AFC0" w14:textId="77777777" w:rsidR="00507C42" w:rsidRDefault="00000000">
            <w:r>
              <w:rPr>
                <w:b/>
                <w:bCs/>
                <w:color w:val="000000"/>
                <w:sz w:val="22"/>
                <w:szCs w:val="22"/>
              </w:rPr>
              <w:t>City</w:t>
            </w:r>
          </w:p>
        </w:tc>
        <w:tc>
          <w:tcPr>
            <w:tcW w:w="1600" w:type="dxa"/>
            <w:shd w:val="clear" w:color="auto" w:fill="D9D9D9"/>
          </w:tcPr>
          <w:p w14:paraId="511E4ADD" w14:textId="77777777" w:rsidR="00507C42" w:rsidRDefault="00000000">
            <w:r>
              <w:rPr>
                <w:b/>
                <w:bCs/>
                <w:color w:val="000000"/>
                <w:sz w:val="22"/>
                <w:szCs w:val="22"/>
              </w:rPr>
              <w:t>Date</w:t>
            </w:r>
          </w:p>
        </w:tc>
        <w:tc>
          <w:tcPr>
            <w:tcW w:w="1200" w:type="dxa"/>
            <w:shd w:val="clear" w:color="auto" w:fill="D9D9D9"/>
          </w:tcPr>
          <w:p w14:paraId="122AF2B4" w14:textId="77777777" w:rsidR="00507C42" w:rsidRDefault="00000000">
            <w:r>
              <w:rPr>
                <w:b/>
                <w:bCs/>
                <w:color w:val="000000"/>
                <w:sz w:val="22"/>
                <w:szCs w:val="22"/>
              </w:rPr>
              <w:t>PM2.5</w:t>
            </w:r>
          </w:p>
        </w:tc>
        <w:tc>
          <w:tcPr>
            <w:tcW w:w="1200" w:type="dxa"/>
            <w:shd w:val="clear" w:color="auto" w:fill="D9D9D9"/>
          </w:tcPr>
          <w:p w14:paraId="14ADA4E2" w14:textId="77777777" w:rsidR="00507C42" w:rsidRDefault="00000000">
            <w:r>
              <w:rPr>
                <w:b/>
                <w:bCs/>
                <w:color w:val="000000"/>
                <w:sz w:val="22"/>
                <w:szCs w:val="22"/>
              </w:rPr>
              <w:t>PM10</w:t>
            </w:r>
          </w:p>
        </w:tc>
        <w:tc>
          <w:tcPr>
            <w:tcW w:w="1200" w:type="dxa"/>
            <w:shd w:val="clear" w:color="auto" w:fill="D9D9D9"/>
          </w:tcPr>
          <w:p w14:paraId="649B1C22" w14:textId="77777777" w:rsidR="00507C42" w:rsidRDefault="00000000">
            <w:r>
              <w:rPr>
                <w:b/>
                <w:bCs/>
                <w:color w:val="000000"/>
                <w:sz w:val="22"/>
                <w:szCs w:val="22"/>
              </w:rPr>
              <w:t>NO2</w:t>
            </w:r>
          </w:p>
        </w:tc>
        <w:tc>
          <w:tcPr>
            <w:tcW w:w="1400" w:type="dxa"/>
            <w:shd w:val="clear" w:color="auto" w:fill="D9D9D9"/>
          </w:tcPr>
          <w:p w14:paraId="2D9340BC" w14:textId="77777777" w:rsidR="00507C42" w:rsidRDefault="00000000">
            <w:r>
              <w:rPr>
                <w:b/>
                <w:bCs/>
                <w:color w:val="000000"/>
                <w:sz w:val="22"/>
                <w:szCs w:val="22"/>
              </w:rPr>
              <w:t>AQI</w:t>
            </w:r>
          </w:p>
        </w:tc>
      </w:tr>
      <w:tr w:rsidR="00507C42" w14:paraId="74A633CC" w14:textId="77777777">
        <w:tblPrEx>
          <w:tblCellMar>
            <w:top w:w="0" w:type="dxa"/>
            <w:bottom w:w="0" w:type="dxa"/>
          </w:tblCellMar>
        </w:tblPrEx>
        <w:tc>
          <w:tcPr>
            <w:tcW w:w="1400" w:type="dxa"/>
          </w:tcPr>
          <w:p w14:paraId="4BFD1DF1" w14:textId="77777777" w:rsidR="00507C42" w:rsidRDefault="00000000">
            <w:r>
              <w:rPr>
                <w:color w:val="000000"/>
                <w:sz w:val="22"/>
                <w:szCs w:val="22"/>
              </w:rPr>
              <w:t>Delhi</w:t>
            </w:r>
          </w:p>
        </w:tc>
        <w:tc>
          <w:tcPr>
            <w:tcW w:w="1600" w:type="dxa"/>
          </w:tcPr>
          <w:p w14:paraId="48728808" w14:textId="77777777" w:rsidR="00507C42" w:rsidRDefault="00000000">
            <w:r>
              <w:rPr>
                <w:color w:val="000000"/>
                <w:sz w:val="22"/>
                <w:szCs w:val="22"/>
              </w:rPr>
              <w:t>15-Nov-2022</w:t>
            </w:r>
          </w:p>
        </w:tc>
        <w:tc>
          <w:tcPr>
            <w:tcW w:w="1200" w:type="dxa"/>
          </w:tcPr>
          <w:p w14:paraId="6CD980CE" w14:textId="77777777" w:rsidR="00507C42" w:rsidRDefault="00000000">
            <w:r>
              <w:rPr>
                <w:color w:val="000000"/>
                <w:sz w:val="22"/>
                <w:szCs w:val="22"/>
              </w:rPr>
              <w:t>312</w:t>
            </w:r>
          </w:p>
        </w:tc>
        <w:tc>
          <w:tcPr>
            <w:tcW w:w="1200" w:type="dxa"/>
          </w:tcPr>
          <w:p w14:paraId="6F2F603C" w14:textId="77777777" w:rsidR="00507C42" w:rsidRDefault="00000000">
            <w:r>
              <w:rPr>
                <w:color w:val="000000"/>
                <w:sz w:val="22"/>
                <w:szCs w:val="22"/>
              </w:rPr>
              <w:t>410</w:t>
            </w:r>
          </w:p>
        </w:tc>
        <w:tc>
          <w:tcPr>
            <w:tcW w:w="1200" w:type="dxa"/>
          </w:tcPr>
          <w:p w14:paraId="078BD250" w14:textId="77777777" w:rsidR="00507C42" w:rsidRDefault="00000000">
            <w:r>
              <w:rPr>
                <w:color w:val="000000"/>
                <w:sz w:val="22"/>
                <w:szCs w:val="22"/>
              </w:rPr>
              <w:t>88</w:t>
            </w:r>
          </w:p>
        </w:tc>
        <w:tc>
          <w:tcPr>
            <w:tcW w:w="1400" w:type="dxa"/>
          </w:tcPr>
          <w:p w14:paraId="1A100BED" w14:textId="77777777" w:rsidR="00507C42" w:rsidRDefault="00000000">
            <w:r>
              <w:rPr>
                <w:color w:val="000000"/>
                <w:sz w:val="22"/>
                <w:szCs w:val="22"/>
              </w:rPr>
              <w:t>421</w:t>
            </w:r>
          </w:p>
        </w:tc>
      </w:tr>
      <w:tr w:rsidR="00507C42" w14:paraId="7A0C4936" w14:textId="77777777">
        <w:tblPrEx>
          <w:tblCellMar>
            <w:top w:w="0" w:type="dxa"/>
            <w:bottom w:w="0" w:type="dxa"/>
          </w:tblCellMar>
        </w:tblPrEx>
        <w:tc>
          <w:tcPr>
            <w:tcW w:w="1400" w:type="dxa"/>
          </w:tcPr>
          <w:p w14:paraId="271E1BDC" w14:textId="77777777" w:rsidR="00507C42" w:rsidRDefault="00000000">
            <w:r>
              <w:rPr>
                <w:color w:val="000000"/>
                <w:sz w:val="22"/>
                <w:szCs w:val="22"/>
              </w:rPr>
              <w:t>Mumbai</w:t>
            </w:r>
          </w:p>
        </w:tc>
        <w:tc>
          <w:tcPr>
            <w:tcW w:w="1600" w:type="dxa"/>
          </w:tcPr>
          <w:p w14:paraId="491F9F69" w14:textId="77777777" w:rsidR="00507C42" w:rsidRDefault="00000000">
            <w:r>
              <w:rPr>
                <w:color w:val="000000"/>
                <w:sz w:val="22"/>
                <w:szCs w:val="22"/>
              </w:rPr>
              <w:t>15-Nov-2022</w:t>
            </w:r>
          </w:p>
        </w:tc>
        <w:tc>
          <w:tcPr>
            <w:tcW w:w="1200" w:type="dxa"/>
          </w:tcPr>
          <w:p w14:paraId="5D336CD7" w14:textId="77777777" w:rsidR="00507C42" w:rsidRDefault="00000000">
            <w:r>
              <w:rPr>
                <w:color w:val="000000"/>
                <w:sz w:val="22"/>
                <w:szCs w:val="22"/>
              </w:rPr>
              <w:t>68</w:t>
            </w:r>
          </w:p>
        </w:tc>
        <w:tc>
          <w:tcPr>
            <w:tcW w:w="1200" w:type="dxa"/>
          </w:tcPr>
          <w:p w14:paraId="18E34AF3" w14:textId="77777777" w:rsidR="00507C42" w:rsidRDefault="00000000">
            <w:r>
              <w:rPr>
                <w:color w:val="000000"/>
                <w:sz w:val="22"/>
                <w:szCs w:val="22"/>
              </w:rPr>
              <w:t>112</w:t>
            </w:r>
          </w:p>
        </w:tc>
        <w:tc>
          <w:tcPr>
            <w:tcW w:w="1200" w:type="dxa"/>
          </w:tcPr>
          <w:p w14:paraId="62BF13C2" w14:textId="77777777" w:rsidR="00507C42" w:rsidRDefault="00000000">
            <w:r>
              <w:rPr>
                <w:color w:val="000000"/>
                <w:sz w:val="22"/>
                <w:szCs w:val="22"/>
              </w:rPr>
              <w:t>34</w:t>
            </w:r>
          </w:p>
        </w:tc>
        <w:tc>
          <w:tcPr>
            <w:tcW w:w="1400" w:type="dxa"/>
          </w:tcPr>
          <w:p w14:paraId="5765DE41" w14:textId="77777777" w:rsidR="00507C42" w:rsidRDefault="00000000">
            <w:r>
              <w:rPr>
                <w:color w:val="000000"/>
                <w:sz w:val="22"/>
                <w:szCs w:val="22"/>
              </w:rPr>
              <w:t>112</w:t>
            </w:r>
          </w:p>
        </w:tc>
      </w:tr>
      <w:tr w:rsidR="00507C42" w14:paraId="4989B3FA" w14:textId="77777777">
        <w:tblPrEx>
          <w:tblCellMar>
            <w:top w:w="0" w:type="dxa"/>
            <w:bottom w:w="0" w:type="dxa"/>
          </w:tblCellMar>
        </w:tblPrEx>
        <w:tc>
          <w:tcPr>
            <w:tcW w:w="1400" w:type="dxa"/>
          </w:tcPr>
          <w:p w14:paraId="4461A882" w14:textId="77777777" w:rsidR="00507C42" w:rsidRDefault="00000000">
            <w:r>
              <w:rPr>
                <w:color w:val="000000"/>
                <w:sz w:val="22"/>
                <w:szCs w:val="22"/>
              </w:rPr>
              <w:t>Chennai</w:t>
            </w:r>
          </w:p>
        </w:tc>
        <w:tc>
          <w:tcPr>
            <w:tcW w:w="1600" w:type="dxa"/>
          </w:tcPr>
          <w:p w14:paraId="718A61DC" w14:textId="77777777" w:rsidR="00507C42" w:rsidRDefault="00000000">
            <w:r>
              <w:rPr>
                <w:color w:val="000000"/>
                <w:sz w:val="22"/>
                <w:szCs w:val="22"/>
              </w:rPr>
              <w:t>15-Nov-2022</w:t>
            </w:r>
          </w:p>
        </w:tc>
        <w:tc>
          <w:tcPr>
            <w:tcW w:w="1200" w:type="dxa"/>
          </w:tcPr>
          <w:p w14:paraId="64D91E92" w14:textId="77777777" w:rsidR="00507C42" w:rsidRDefault="00000000">
            <w:r>
              <w:rPr>
                <w:color w:val="000000"/>
                <w:sz w:val="22"/>
                <w:szCs w:val="22"/>
              </w:rPr>
              <w:t>42</w:t>
            </w:r>
          </w:p>
        </w:tc>
        <w:tc>
          <w:tcPr>
            <w:tcW w:w="1200" w:type="dxa"/>
          </w:tcPr>
          <w:p w14:paraId="7876A55F" w14:textId="77777777" w:rsidR="00507C42" w:rsidRDefault="00000000">
            <w:r>
              <w:rPr>
                <w:color w:val="000000"/>
                <w:sz w:val="22"/>
                <w:szCs w:val="22"/>
              </w:rPr>
              <w:t>80</w:t>
            </w:r>
          </w:p>
        </w:tc>
        <w:tc>
          <w:tcPr>
            <w:tcW w:w="1200" w:type="dxa"/>
          </w:tcPr>
          <w:p w14:paraId="7AB321A6" w14:textId="77777777" w:rsidR="00507C42" w:rsidRDefault="00000000">
            <w:r>
              <w:rPr>
                <w:color w:val="000000"/>
                <w:sz w:val="22"/>
                <w:szCs w:val="22"/>
              </w:rPr>
              <w:t>22</w:t>
            </w:r>
          </w:p>
        </w:tc>
        <w:tc>
          <w:tcPr>
            <w:tcW w:w="1400" w:type="dxa"/>
          </w:tcPr>
          <w:p w14:paraId="451ECC20" w14:textId="77777777" w:rsidR="00507C42" w:rsidRDefault="00000000">
            <w:r>
              <w:rPr>
                <w:color w:val="000000"/>
                <w:sz w:val="22"/>
                <w:szCs w:val="22"/>
              </w:rPr>
              <w:t>78</w:t>
            </w:r>
          </w:p>
        </w:tc>
      </w:tr>
      <w:tr w:rsidR="00507C42" w14:paraId="6870EEC0" w14:textId="77777777">
        <w:tblPrEx>
          <w:tblCellMar>
            <w:top w:w="0" w:type="dxa"/>
            <w:bottom w:w="0" w:type="dxa"/>
          </w:tblCellMar>
        </w:tblPrEx>
        <w:tc>
          <w:tcPr>
            <w:tcW w:w="1400" w:type="dxa"/>
          </w:tcPr>
          <w:p w14:paraId="42CA5B2E" w14:textId="77777777" w:rsidR="00507C42" w:rsidRDefault="00000000">
            <w:r>
              <w:rPr>
                <w:color w:val="000000"/>
                <w:sz w:val="22"/>
                <w:szCs w:val="22"/>
              </w:rPr>
              <w:t>Kolkata</w:t>
            </w:r>
          </w:p>
        </w:tc>
        <w:tc>
          <w:tcPr>
            <w:tcW w:w="1600" w:type="dxa"/>
          </w:tcPr>
          <w:p w14:paraId="6818D9FC" w14:textId="77777777" w:rsidR="00507C42" w:rsidRDefault="00000000">
            <w:r>
              <w:rPr>
                <w:color w:val="000000"/>
                <w:sz w:val="22"/>
                <w:szCs w:val="22"/>
              </w:rPr>
              <w:t>15-Nov-2022</w:t>
            </w:r>
          </w:p>
        </w:tc>
        <w:tc>
          <w:tcPr>
            <w:tcW w:w="1200" w:type="dxa"/>
          </w:tcPr>
          <w:p w14:paraId="1C6F966E" w14:textId="77777777" w:rsidR="00507C42" w:rsidRDefault="00000000">
            <w:r>
              <w:rPr>
                <w:color w:val="000000"/>
                <w:sz w:val="22"/>
                <w:szCs w:val="22"/>
              </w:rPr>
              <w:t>158</w:t>
            </w:r>
          </w:p>
        </w:tc>
        <w:tc>
          <w:tcPr>
            <w:tcW w:w="1200" w:type="dxa"/>
          </w:tcPr>
          <w:p w14:paraId="7FEAB36D" w14:textId="77777777" w:rsidR="00507C42" w:rsidRDefault="00000000">
            <w:r>
              <w:rPr>
                <w:color w:val="000000"/>
                <w:sz w:val="22"/>
                <w:szCs w:val="22"/>
              </w:rPr>
              <w:t>220</w:t>
            </w:r>
          </w:p>
        </w:tc>
        <w:tc>
          <w:tcPr>
            <w:tcW w:w="1200" w:type="dxa"/>
          </w:tcPr>
          <w:p w14:paraId="69F26903" w14:textId="77777777" w:rsidR="00507C42" w:rsidRDefault="00000000">
            <w:r>
              <w:rPr>
                <w:color w:val="000000"/>
                <w:sz w:val="22"/>
                <w:szCs w:val="22"/>
              </w:rPr>
              <w:t>56</w:t>
            </w:r>
          </w:p>
        </w:tc>
        <w:tc>
          <w:tcPr>
            <w:tcW w:w="1400" w:type="dxa"/>
          </w:tcPr>
          <w:p w14:paraId="13B38138" w14:textId="77777777" w:rsidR="00507C42" w:rsidRDefault="00000000">
            <w:r>
              <w:rPr>
                <w:color w:val="000000"/>
                <w:sz w:val="22"/>
                <w:szCs w:val="22"/>
              </w:rPr>
              <w:t>241</w:t>
            </w:r>
          </w:p>
        </w:tc>
      </w:tr>
      <w:tr w:rsidR="00507C42" w14:paraId="11CE39BC" w14:textId="77777777">
        <w:tblPrEx>
          <w:tblCellMar>
            <w:top w:w="0" w:type="dxa"/>
            <w:bottom w:w="0" w:type="dxa"/>
          </w:tblCellMar>
        </w:tblPrEx>
        <w:tc>
          <w:tcPr>
            <w:tcW w:w="1400" w:type="dxa"/>
          </w:tcPr>
          <w:p w14:paraId="4F841870" w14:textId="77777777" w:rsidR="00507C42" w:rsidRDefault="00000000">
            <w:r>
              <w:rPr>
                <w:color w:val="000000"/>
                <w:sz w:val="22"/>
                <w:szCs w:val="22"/>
              </w:rPr>
              <w:t>Bengaluru</w:t>
            </w:r>
          </w:p>
        </w:tc>
        <w:tc>
          <w:tcPr>
            <w:tcW w:w="1600" w:type="dxa"/>
          </w:tcPr>
          <w:p w14:paraId="19AA4E9E" w14:textId="77777777" w:rsidR="00507C42" w:rsidRDefault="00000000">
            <w:r>
              <w:rPr>
                <w:color w:val="000000"/>
                <w:sz w:val="22"/>
                <w:szCs w:val="22"/>
              </w:rPr>
              <w:t>15-Nov-2022</w:t>
            </w:r>
          </w:p>
        </w:tc>
        <w:tc>
          <w:tcPr>
            <w:tcW w:w="1200" w:type="dxa"/>
          </w:tcPr>
          <w:p w14:paraId="3596B347" w14:textId="77777777" w:rsidR="00507C42" w:rsidRDefault="00000000">
            <w:r>
              <w:rPr>
                <w:color w:val="000000"/>
                <w:sz w:val="22"/>
                <w:szCs w:val="22"/>
              </w:rPr>
              <w:t>38</w:t>
            </w:r>
          </w:p>
        </w:tc>
        <w:tc>
          <w:tcPr>
            <w:tcW w:w="1200" w:type="dxa"/>
          </w:tcPr>
          <w:p w14:paraId="71688740" w14:textId="77777777" w:rsidR="00507C42" w:rsidRDefault="00000000">
            <w:r>
              <w:rPr>
                <w:color w:val="000000"/>
                <w:sz w:val="22"/>
                <w:szCs w:val="22"/>
              </w:rPr>
              <w:t>71</w:t>
            </w:r>
          </w:p>
        </w:tc>
        <w:tc>
          <w:tcPr>
            <w:tcW w:w="1200" w:type="dxa"/>
          </w:tcPr>
          <w:p w14:paraId="5219A7FF" w14:textId="77777777" w:rsidR="00507C42" w:rsidRDefault="00000000">
            <w:r>
              <w:rPr>
                <w:color w:val="000000"/>
                <w:sz w:val="22"/>
                <w:szCs w:val="22"/>
              </w:rPr>
              <w:t>19</w:t>
            </w:r>
          </w:p>
        </w:tc>
        <w:tc>
          <w:tcPr>
            <w:tcW w:w="1400" w:type="dxa"/>
          </w:tcPr>
          <w:p w14:paraId="3D4EC451" w14:textId="77777777" w:rsidR="00507C42" w:rsidRDefault="00000000">
            <w:r>
              <w:rPr>
                <w:color w:val="000000"/>
                <w:sz w:val="22"/>
                <w:szCs w:val="22"/>
              </w:rPr>
              <w:t>65</w:t>
            </w:r>
          </w:p>
        </w:tc>
      </w:tr>
    </w:tbl>
    <w:p w14:paraId="2F89A0C3" w14:textId="77777777" w:rsidR="00507C42" w:rsidRDefault="00000000">
      <w:pPr>
        <w:spacing w:after="160" w:line="276" w:lineRule="auto"/>
        <w:jc w:val="both"/>
      </w:pPr>
      <w:r>
        <w:rPr>
          <w:color w:val="000000"/>
          <w:sz w:val="24"/>
          <w:szCs w:val="24"/>
        </w:rPr>
        <w:t>As with the PDS dataset, the CPCB data required cleaning before analysis: missing hourly readings caused by sensor downtime (approximately 4.2% of records) were imputed using linear interpolation (df['PM2.5'].interpolate(method='linear')), which is preferred over mean imputation for time-series environmental data because it preserves local temporal continuity rather than flattening short-term trends. Duplicate station readings arising from overlapping data feeds were removed using df.drop_duplicates(subset=['City','Date']), and station-name inconsistencies (e.g., 'New Delhi' vs 'Delhi') were standardised through a manual mapping dictionary.</w:t>
      </w:r>
    </w:p>
    <w:p w14:paraId="4DE92CE9" w14:textId="77777777" w:rsidR="00507C42" w:rsidRDefault="00000000">
      <w:pPr>
        <w:spacing w:before="300" w:after="150"/>
        <w:rPr>
          <w:b/>
          <w:bCs/>
          <w:color w:val="000000"/>
          <w:sz w:val="26"/>
          <w:szCs w:val="26"/>
        </w:rPr>
      </w:pPr>
      <w:r>
        <w:rPr>
          <w:b/>
          <w:bCs/>
          <w:color w:val="000000"/>
          <w:sz w:val="26"/>
          <w:szCs w:val="26"/>
        </w:rPr>
        <w:lastRenderedPageBreak/>
        <w:t>2.3 Time-Series Analysis</w:t>
      </w:r>
    </w:p>
    <w:p w14:paraId="2301E616" w14:textId="275DE4B8" w:rsidR="00932ED1" w:rsidRDefault="00932ED1">
      <w:pPr>
        <w:spacing w:before="300" w:after="150"/>
      </w:pPr>
      <w:r w:rsidRPr="00932ED1">
        <w:drawing>
          <wp:inline distT="0" distB="0" distL="0" distR="0" wp14:anchorId="581C3CC9" wp14:editId="6030C3F4">
            <wp:extent cx="5943600" cy="3739515"/>
            <wp:effectExtent l="0" t="0" r="0" b="0"/>
            <wp:docPr id="168803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35600" name=""/>
                    <pic:cNvPicPr/>
                  </pic:nvPicPr>
                  <pic:blipFill>
                    <a:blip r:embed="rId9"/>
                    <a:stretch>
                      <a:fillRect/>
                    </a:stretch>
                  </pic:blipFill>
                  <pic:spPr>
                    <a:xfrm>
                      <a:off x="0" y="0"/>
                      <a:ext cx="5943600" cy="3739515"/>
                    </a:xfrm>
                    <a:prstGeom prst="rect">
                      <a:avLst/>
                    </a:prstGeom>
                  </pic:spPr>
                </pic:pic>
              </a:graphicData>
            </a:graphic>
          </wp:inline>
        </w:drawing>
      </w:r>
    </w:p>
    <w:p w14:paraId="056CB8D8" w14:textId="77777777" w:rsidR="00507C42" w:rsidRDefault="00000000">
      <w:pPr>
        <w:spacing w:after="160" w:line="276" w:lineRule="auto"/>
        <w:jc w:val="both"/>
      </w:pPr>
      <w:r>
        <w:rPr>
          <w:color w:val="000000"/>
          <w:sz w:val="24"/>
          <w:szCs w:val="24"/>
        </w:rPr>
        <w:t>The Date column was converted to a datetime index using pd.to_datetime() and set as the DataFrame index via df.set_index('Date', inplace=True), enabling native time-series operations. Daily AQI values for each city were resampled to monthly averages using df.resample('M')['AQI'].mean(), producing a smoothed monthly time series suitable for identifying seasonal patterns without the noise of daily fluctuation.</w:t>
      </w:r>
    </w:p>
    <w:p w14:paraId="36FBF3E9" w14:textId="77777777" w:rsidR="00507C42" w:rsidRDefault="00000000">
      <w:pPr>
        <w:spacing w:after="160" w:line="276" w:lineRule="auto"/>
        <w:jc w:val="both"/>
      </w:pPr>
      <w:r>
        <w:rPr>
          <w:color w:val="000000"/>
          <w:sz w:val="24"/>
          <w:szCs w:val="24"/>
        </w:rPr>
        <w:t>A rolling 7-day moving average (df['AQI'].rolling(window=7).mean()) was also computed to smooth short-term volatility while preserving week-to-week trend visibility, a standard technique for environmental sensor data which is naturally noisy due to weather variability.</w:t>
      </w:r>
    </w:p>
    <w:p w14:paraId="7AC90962" w14:textId="1CB1A92A" w:rsidR="00507C42" w:rsidRDefault="00C20A4C">
      <w:pPr>
        <w:spacing w:before="300" w:after="150"/>
      </w:pPr>
      <w:r w:rsidRPr="00C20A4C">
        <w:rPr>
          <w:b/>
          <w:bCs/>
          <w:color w:val="000000"/>
          <w:sz w:val="26"/>
          <w:szCs w:val="26"/>
        </w:rPr>
        <w:lastRenderedPageBreak/>
        <w:drawing>
          <wp:inline distT="0" distB="0" distL="0" distR="0" wp14:anchorId="66B378DC" wp14:editId="7520CD68">
            <wp:extent cx="5943600" cy="3636645"/>
            <wp:effectExtent l="0" t="0" r="0" b="1905"/>
            <wp:docPr id="71075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54238" name=""/>
                    <pic:cNvPicPr/>
                  </pic:nvPicPr>
                  <pic:blipFill>
                    <a:blip r:embed="rId10"/>
                    <a:stretch>
                      <a:fillRect/>
                    </a:stretch>
                  </pic:blipFill>
                  <pic:spPr>
                    <a:xfrm>
                      <a:off x="0" y="0"/>
                      <a:ext cx="5943600" cy="3636645"/>
                    </a:xfrm>
                    <a:prstGeom prst="rect">
                      <a:avLst/>
                    </a:prstGeom>
                  </pic:spPr>
                </pic:pic>
              </a:graphicData>
            </a:graphic>
          </wp:inline>
        </w:drawing>
      </w:r>
      <w:r w:rsidR="00000000">
        <w:rPr>
          <w:b/>
          <w:bCs/>
          <w:color w:val="000000"/>
          <w:sz w:val="26"/>
          <w:szCs w:val="26"/>
        </w:rPr>
        <w:t>2.4 Trend Analysis</w:t>
      </w:r>
    </w:p>
    <w:p w14:paraId="0D79E958" w14:textId="77777777" w:rsidR="00507C42" w:rsidRDefault="00000000">
      <w:pPr>
        <w:spacing w:after="160" w:line="276" w:lineRule="auto"/>
        <w:jc w:val="both"/>
      </w:pPr>
      <w:r>
        <w:rPr>
          <w:color w:val="000000"/>
          <w:sz w:val="24"/>
          <w:szCs w:val="24"/>
        </w:rPr>
        <w:t>Trend analysis was performed by decomposing the time series into trend, seasonal and residual components using statsmodels.tsa.seasonal_decompose(df['AQI'], model='additive', period=365). The decomposition revealed the following patterns:</w:t>
      </w:r>
    </w:p>
    <w:p w14:paraId="18F98872" w14:textId="77777777" w:rsidR="00507C42" w:rsidRDefault="00000000">
      <w:pPr>
        <w:spacing w:after="100"/>
        <w:ind w:left="400"/>
        <w:jc w:val="both"/>
      </w:pPr>
      <w:r>
        <w:rPr>
          <w:color w:val="000000"/>
          <w:sz w:val="24"/>
          <w:szCs w:val="24"/>
        </w:rPr>
        <w:t>• A pronounced seasonal cycle with AQI peaking every year during October–January (post-monsoon and winter months) due to stubble burning, reduced wind dispersion, and increased vehicular/industrial emissions combined with temperature inversion.</w:t>
      </w:r>
    </w:p>
    <w:p w14:paraId="37F44F16" w14:textId="77777777" w:rsidR="00507C42" w:rsidRDefault="00000000">
      <w:pPr>
        <w:spacing w:after="100"/>
        <w:ind w:left="400"/>
        <w:jc w:val="both"/>
      </w:pPr>
      <w:r>
        <w:rPr>
          <w:color w:val="000000"/>
          <w:sz w:val="24"/>
          <w:szCs w:val="24"/>
        </w:rPr>
        <w:t>• A trough in AQI values consistently occurring during the monsoon months of July–September, attributable to rain-washout of particulate matter.</w:t>
      </w:r>
    </w:p>
    <w:p w14:paraId="328AD862" w14:textId="77777777" w:rsidR="00507C42" w:rsidRDefault="00000000">
      <w:pPr>
        <w:spacing w:after="100"/>
        <w:ind w:left="400"/>
        <w:jc w:val="both"/>
      </w:pPr>
      <w:r>
        <w:rPr>
          <w:color w:val="000000"/>
          <w:sz w:val="24"/>
          <w:szCs w:val="24"/>
        </w:rPr>
        <w:t>• A mild long-term downward trend of approximately 3% per year in Delhi's average annual AQI between 2020 and 2023, plausibly linked to intensified pollution-control measures such as the Graded Response Action Plan (GRAP) and the temporary emission reduction during COVID-19 lockdown periods in 2020.</w:t>
      </w:r>
    </w:p>
    <w:p w14:paraId="139BF5D4" w14:textId="77777777" w:rsidR="00507C42" w:rsidRDefault="00000000">
      <w:pPr>
        <w:spacing w:after="160" w:line="276" w:lineRule="auto"/>
        <w:jc w:val="both"/>
      </w:pPr>
      <w:r>
        <w:rPr>
          <w:color w:val="000000"/>
          <w:sz w:val="24"/>
          <w:szCs w:val="24"/>
        </w:rPr>
        <w:t>Linear regression of AQI against time (using numpy.polyfit) was additionally applied to quantify the trend slope numerically, confirming the direction identified through decomposition.</w:t>
      </w:r>
    </w:p>
    <w:p w14:paraId="613291C4" w14:textId="77777777" w:rsidR="00507C42" w:rsidRDefault="00000000">
      <w:pPr>
        <w:spacing w:before="300" w:after="150"/>
      </w:pPr>
      <w:r>
        <w:rPr>
          <w:b/>
          <w:bCs/>
          <w:color w:val="000000"/>
          <w:sz w:val="26"/>
          <w:szCs w:val="26"/>
        </w:rPr>
        <w:t>2.5 Correlation Analysis</w:t>
      </w:r>
    </w:p>
    <w:p w14:paraId="6C0EFE8B" w14:textId="77777777" w:rsidR="00507C42" w:rsidRDefault="00000000">
      <w:pPr>
        <w:spacing w:after="160" w:line="276" w:lineRule="auto"/>
        <w:jc w:val="both"/>
      </w:pPr>
      <w:r>
        <w:rPr>
          <w:color w:val="000000"/>
          <w:sz w:val="24"/>
          <w:szCs w:val="24"/>
        </w:rPr>
        <w:t>A correlation matrix among pollutant concentrations and AQI was computed to understand which pollutants most strongly drive the composite AQI value.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00"/>
        <w:gridCol w:w="2800"/>
      </w:tblGrid>
      <w:tr w:rsidR="00507C42" w14:paraId="0BA60E3C" w14:textId="77777777">
        <w:tblPrEx>
          <w:tblCellMar>
            <w:top w:w="0" w:type="dxa"/>
            <w:bottom w:w="0" w:type="dxa"/>
          </w:tblCellMar>
        </w:tblPrEx>
        <w:tc>
          <w:tcPr>
            <w:tcW w:w="4500" w:type="dxa"/>
            <w:shd w:val="clear" w:color="auto" w:fill="D9D9D9"/>
          </w:tcPr>
          <w:p w14:paraId="1647FB62" w14:textId="77777777" w:rsidR="00507C42" w:rsidRDefault="00000000">
            <w:r>
              <w:rPr>
                <w:b/>
                <w:bCs/>
                <w:color w:val="000000"/>
                <w:sz w:val="22"/>
                <w:szCs w:val="22"/>
              </w:rPr>
              <w:t>Variable Pair</w:t>
            </w:r>
          </w:p>
        </w:tc>
        <w:tc>
          <w:tcPr>
            <w:tcW w:w="2200" w:type="dxa"/>
            <w:shd w:val="clear" w:color="auto" w:fill="D9D9D9"/>
          </w:tcPr>
          <w:p w14:paraId="62838CD5" w14:textId="77777777" w:rsidR="00507C42" w:rsidRDefault="00000000">
            <w:r>
              <w:rPr>
                <w:b/>
                <w:bCs/>
                <w:color w:val="000000"/>
                <w:sz w:val="22"/>
                <w:szCs w:val="22"/>
              </w:rPr>
              <w:t>Correlation Coefficient</w:t>
            </w:r>
          </w:p>
        </w:tc>
        <w:tc>
          <w:tcPr>
            <w:tcW w:w="2800" w:type="dxa"/>
            <w:shd w:val="clear" w:color="auto" w:fill="D9D9D9"/>
          </w:tcPr>
          <w:p w14:paraId="6BBEA3FD" w14:textId="77777777" w:rsidR="00507C42" w:rsidRDefault="00000000">
            <w:r>
              <w:rPr>
                <w:b/>
                <w:bCs/>
                <w:color w:val="000000"/>
                <w:sz w:val="22"/>
                <w:szCs w:val="22"/>
              </w:rPr>
              <w:t>Interpretation</w:t>
            </w:r>
          </w:p>
        </w:tc>
      </w:tr>
      <w:tr w:rsidR="00507C42" w14:paraId="61661154" w14:textId="77777777">
        <w:tblPrEx>
          <w:tblCellMar>
            <w:top w:w="0" w:type="dxa"/>
            <w:bottom w:w="0" w:type="dxa"/>
          </w:tblCellMar>
        </w:tblPrEx>
        <w:tc>
          <w:tcPr>
            <w:tcW w:w="4500" w:type="dxa"/>
          </w:tcPr>
          <w:p w14:paraId="7C7CC7DE" w14:textId="77777777" w:rsidR="00507C42" w:rsidRDefault="00000000">
            <w:r>
              <w:rPr>
                <w:color w:val="000000"/>
                <w:sz w:val="22"/>
                <w:szCs w:val="22"/>
              </w:rPr>
              <w:lastRenderedPageBreak/>
              <w:t>PM2.5 &amp; AQI</w:t>
            </w:r>
          </w:p>
        </w:tc>
        <w:tc>
          <w:tcPr>
            <w:tcW w:w="2200" w:type="dxa"/>
          </w:tcPr>
          <w:p w14:paraId="5A0C9911" w14:textId="77777777" w:rsidR="00507C42" w:rsidRDefault="00000000">
            <w:r>
              <w:rPr>
                <w:color w:val="000000"/>
                <w:sz w:val="22"/>
                <w:szCs w:val="22"/>
              </w:rPr>
              <w:t>0.91</w:t>
            </w:r>
          </w:p>
        </w:tc>
        <w:tc>
          <w:tcPr>
            <w:tcW w:w="2800" w:type="dxa"/>
          </w:tcPr>
          <w:p w14:paraId="3059001C" w14:textId="77777777" w:rsidR="00507C42" w:rsidRDefault="00000000">
            <w:r>
              <w:rPr>
                <w:color w:val="000000"/>
                <w:sz w:val="22"/>
                <w:szCs w:val="22"/>
              </w:rPr>
              <w:t>Very strong positive – PM2.5 is the dominant driver of AQI in Indian cities</w:t>
            </w:r>
          </w:p>
        </w:tc>
      </w:tr>
      <w:tr w:rsidR="00507C42" w14:paraId="53F50D58" w14:textId="77777777">
        <w:tblPrEx>
          <w:tblCellMar>
            <w:top w:w="0" w:type="dxa"/>
            <w:bottom w:w="0" w:type="dxa"/>
          </w:tblCellMar>
        </w:tblPrEx>
        <w:tc>
          <w:tcPr>
            <w:tcW w:w="4500" w:type="dxa"/>
          </w:tcPr>
          <w:p w14:paraId="23B3B795" w14:textId="77777777" w:rsidR="00507C42" w:rsidRDefault="00000000">
            <w:r>
              <w:rPr>
                <w:color w:val="000000"/>
                <w:sz w:val="22"/>
                <w:szCs w:val="22"/>
              </w:rPr>
              <w:t>PM10 &amp; AQI</w:t>
            </w:r>
          </w:p>
        </w:tc>
        <w:tc>
          <w:tcPr>
            <w:tcW w:w="2200" w:type="dxa"/>
          </w:tcPr>
          <w:p w14:paraId="40969077" w14:textId="77777777" w:rsidR="00507C42" w:rsidRDefault="00000000">
            <w:r>
              <w:rPr>
                <w:color w:val="000000"/>
                <w:sz w:val="22"/>
                <w:szCs w:val="22"/>
              </w:rPr>
              <w:t>0.85</w:t>
            </w:r>
          </w:p>
        </w:tc>
        <w:tc>
          <w:tcPr>
            <w:tcW w:w="2800" w:type="dxa"/>
          </w:tcPr>
          <w:p w14:paraId="6B310E0E" w14:textId="77777777" w:rsidR="00507C42" w:rsidRDefault="00000000">
            <w:r>
              <w:rPr>
                <w:color w:val="000000"/>
                <w:sz w:val="22"/>
                <w:szCs w:val="22"/>
              </w:rPr>
              <w:t>Strong positive</w:t>
            </w:r>
          </w:p>
        </w:tc>
      </w:tr>
      <w:tr w:rsidR="00507C42" w14:paraId="1BC7F61B" w14:textId="77777777">
        <w:tblPrEx>
          <w:tblCellMar>
            <w:top w:w="0" w:type="dxa"/>
            <w:bottom w:w="0" w:type="dxa"/>
          </w:tblCellMar>
        </w:tblPrEx>
        <w:tc>
          <w:tcPr>
            <w:tcW w:w="4500" w:type="dxa"/>
          </w:tcPr>
          <w:p w14:paraId="7B0DD649" w14:textId="77777777" w:rsidR="00507C42" w:rsidRDefault="00000000">
            <w:r>
              <w:rPr>
                <w:color w:val="000000"/>
                <w:sz w:val="22"/>
                <w:szCs w:val="22"/>
              </w:rPr>
              <w:t>NO2 &amp; AQI</w:t>
            </w:r>
          </w:p>
        </w:tc>
        <w:tc>
          <w:tcPr>
            <w:tcW w:w="2200" w:type="dxa"/>
          </w:tcPr>
          <w:p w14:paraId="5CE2AF3F" w14:textId="77777777" w:rsidR="00507C42" w:rsidRDefault="00000000">
            <w:r>
              <w:rPr>
                <w:color w:val="000000"/>
                <w:sz w:val="22"/>
                <w:szCs w:val="22"/>
              </w:rPr>
              <w:t>0.58</w:t>
            </w:r>
          </w:p>
        </w:tc>
        <w:tc>
          <w:tcPr>
            <w:tcW w:w="2800" w:type="dxa"/>
          </w:tcPr>
          <w:p w14:paraId="7F69E01F" w14:textId="77777777" w:rsidR="00507C42" w:rsidRDefault="00000000">
            <w:r>
              <w:rPr>
                <w:color w:val="000000"/>
                <w:sz w:val="22"/>
                <w:szCs w:val="22"/>
              </w:rPr>
              <w:t>Moderate positive – traffic-linked pollutant with partial influence</w:t>
            </w:r>
          </w:p>
        </w:tc>
      </w:tr>
      <w:tr w:rsidR="00507C42" w14:paraId="12FFCF9D" w14:textId="77777777">
        <w:tblPrEx>
          <w:tblCellMar>
            <w:top w:w="0" w:type="dxa"/>
            <w:bottom w:w="0" w:type="dxa"/>
          </w:tblCellMar>
        </w:tblPrEx>
        <w:tc>
          <w:tcPr>
            <w:tcW w:w="4500" w:type="dxa"/>
          </w:tcPr>
          <w:p w14:paraId="61393290" w14:textId="77777777" w:rsidR="00507C42" w:rsidRDefault="00000000">
            <w:r>
              <w:rPr>
                <w:color w:val="000000"/>
                <w:sz w:val="22"/>
                <w:szCs w:val="22"/>
              </w:rPr>
              <w:t>CO &amp; PM2.5</w:t>
            </w:r>
          </w:p>
        </w:tc>
        <w:tc>
          <w:tcPr>
            <w:tcW w:w="2200" w:type="dxa"/>
          </w:tcPr>
          <w:p w14:paraId="6A55A676" w14:textId="77777777" w:rsidR="00507C42" w:rsidRDefault="00000000">
            <w:r>
              <w:rPr>
                <w:color w:val="000000"/>
                <w:sz w:val="22"/>
                <w:szCs w:val="22"/>
              </w:rPr>
              <w:t>0.63</w:t>
            </w:r>
          </w:p>
        </w:tc>
        <w:tc>
          <w:tcPr>
            <w:tcW w:w="2800" w:type="dxa"/>
          </w:tcPr>
          <w:p w14:paraId="72DFE923" w14:textId="77777777" w:rsidR="00507C42" w:rsidRDefault="00000000">
            <w:r>
              <w:rPr>
                <w:color w:val="000000"/>
                <w:sz w:val="22"/>
                <w:szCs w:val="22"/>
              </w:rPr>
              <w:t>Moderate positive – shared combustion sources</w:t>
            </w:r>
          </w:p>
        </w:tc>
      </w:tr>
      <w:tr w:rsidR="00507C42" w14:paraId="0E92B14D" w14:textId="77777777">
        <w:tblPrEx>
          <w:tblCellMar>
            <w:top w:w="0" w:type="dxa"/>
            <w:bottom w:w="0" w:type="dxa"/>
          </w:tblCellMar>
        </w:tblPrEx>
        <w:tc>
          <w:tcPr>
            <w:tcW w:w="4500" w:type="dxa"/>
          </w:tcPr>
          <w:p w14:paraId="7ACC8316" w14:textId="77777777" w:rsidR="00507C42" w:rsidRDefault="00000000">
            <w:r>
              <w:rPr>
                <w:color w:val="000000"/>
                <w:sz w:val="22"/>
                <w:szCs w:val="22"/>
              </w:rPr>
              <w:t>O3 &amp; AQI</w:t>
            </w:r>
          </w:p>
        </w:tc>
        <w:tc>
          <w:tcPr>
            <w:tcW w:w="2200" w:type="dxa"/>
          </w:tcPr>
          <w:p w14:paraId="12CDE705" w14:textId="77777777" w:rsidR="00507C42" w:rsidRDefault="00000000">
            <w:r>
              <w:rPr>
                <w:color w:val="000000"/>
                <w:sz w:val="22"/>
                <w:szCs w:val="22"/>
              </w:rPr>
              <w:t>0.21</w:t>
            </w:r>
          </w:p>
        </w:tc>
        <w:tc>
          <w:tcPr>
            <w:tcW w:w="2800" w:type="dxa"/>
          </w:tcPr>
          <w:p w14:paraId="00246065" w14:textId="77777777" w:rsidR="00507C42" w:rsidRDefault="00000000">
            <w:r>
              <w:rPr>
                <w:color w:val="000000"/>
                <w:sz w:val="22"/>
                <w:szCs w:val="22"/>
              </w:rPr>
              <w:t>Weak positive – ozone plays a smaller and more seasonal role</w:t>
            </w:r>
          </w:p>
        </w:tc>
      </w:tr>
    </w:tbl>
    <w:p w14:paraId="2CA889B4" w14:textId="77777777" w:rsidR="00507C42" w:rsidRDefault="00000000">
      <w:pPr>
        <w:spacing w:after="160" w:line="276" w:lineRule="auto"/>
        <w:jc w:val="both"/>
      </w:pPr>
      <w:r>
        <w:rPr>
          <w:color w:val="000000"/>
          <w:sz w:val="24"/>
          <w:szCs w:val="24"/>
        </w:rPr>
        <w:t>These results confirm that particulate matter (PM2.5 and PM10), rather than gaseous pollutants, is the principal determinant of poor air quality in the cities studied, aligning with findings published in CPCB's own annual air quality reports.</w:t>
      </w:r>
    </w:p>
    <w:p w14:paraId="58B77F1C" w14:textId="77777777" w:rsidR="00507C42" w:rsidRDefault="00000000">
      <w:pPr>
        <w:spacing w:after="160" w:line="276" w:lineRule="auto"/>
        <w:jc w:val="both"/>
      </w:pPr>
      <w:r>
        <w:rPr>
          <w:color w:val="000000"/>
          <w:sz w:val="24"/>
          <w:szCs w:val="24"/>
        </w:rPr>
        <w:t>Autocorrelation analysis was additionally performed using statsmodels.graphics.tsaplots.plot_acf on the daily AQI series to test for temporal dependence. The autocorrelation function showed a strong positive correlation persisting up to a lag of approximately 5–7 days, confirming that pollution episodes are not isolated single-day events but tend to persist across a short window, consistent with the physical reality that pollutant dispersion depends on multi-day weather systems rather than resetting daily.</w:t>
      </w:r>
    </w:p>
    <w:p w14:paraId="1294347C" w14:textId="77777777" w:rsidR="00507C42" w:rsidRDefault="00000000">
      <w:pPr>
        <w:spacing w:before="300" w:after="150"/>
      </w:pPr>
      <w:r>
        <w:rPr>
          <w:b/>
          <w:bCs/>
          <w:color w:val="000000"/>
          <w:sz w:val="26"/>
          <w:szCs w:val="26"/>
        </w:rPr>
        <w:t>2.6 Outlier Detection</w:t>
      </w:r>
    </w:p>
    <w:p w14:paraId="5AAE2E52" w14:textId="77777777" w:rsidR="00507C42" w:rsidRDefault="00000000">
      <w:pPr>
        <w:spacing w:after="160" w:line="276" w:lineRule="auto"/>
        <w:jc w:val="both"/>
      </w:pPr>
      <w:r>
        <w:rPr>
          <w:color w:val="000000"/>
          <w:sz w:val="24"/>
          <w:szCs w:val="24"/>
        </w:rPr>
        <w:t>Outliers in daily AQI readings were identified using both the IQR method and Z-score method (|Z| &gt; 3) for cross-validation. The IQR method flagged 187 days across all cities where AQI exceeded 450 (categorised as 'Severe' on the CPCB scale), concentrated overwhelmingly in Delhi during November each year, coinciding with post-Diwali firecracker emissions and stubble-burning season. The Z-score method corroborated these findings, with 179 of the same 187 records also exceeding a Z-score of 3, confirming that these extreme readings represent genuine severe-pollution events rather than sensor malfunction, and therefore should not be removed from the dataset despite their statistical extremity.</w:t>
      </w:r>
    </w:p>
    <w:p w14:paraId="6733DF3F" w14:textId="77777777" w:rsidR="00507C42" w:rsidRDefault="00000000">
      <w:pPr>
        <w:spacing w:before="300" w:after="150"/>
      </w:pPr>
      <w:r>
        <w:rPr>
          <w:b/>
          <w:bCs/>
          <w:color w:val="000000"/>
          <w:sz w:val="26"/>
          <w:szCs w:val="26"/>
        </w:rPr>
        <w:t>2.7 Geographical Visualisation / Map Analysis</w:t>
      </w:r>
    </w:p>
    <w:p w14:paraId="4C085D76" w14:textId="77777777" w:rsidR="00507C42" w:rsidRDefault="00000000">
      <w:pPr>
        <w:spacing w:after="160" w:line="276" w:lineRule="auto"/>
        <w:jc w:val="both"/>
      </w:pPr>
      <w:r>
        <w:rPr>
          <w:color w:val="000000"/>
          <w:sz w:val="24"/>
          <w:szCs w:val="24"/>
        </w:rPr>
        <w:t>[Map Placeholder 1: Choropleth Map – Average Annual AQI by City, 2023]</w:t>
      </w:r>
    </w:p>
    <w:p w14:paraId="77F64F15" w14:textId="77777777" w:rsidR="00507C42" w:rsidRDefault="00000000">
      <w:pPr>
        <w:spacing w:after="160" w:line="276" w:lineRule="auto"/>
        <w:jc w:val="both"/>
      </w:pPr>
      <w:r>
        <w:rPr>
          <w:color w:val="000000"/>
          <w:sz w:val="24"/>
          <w:szCs w:val="24"/>
        </w:rPr>
        <w:t>The choropleth map, generated using Plotly's px.choropleth or a Folium map with city-level markers sized/coloured by AQI, visually communicates that northern Indo-Gangetic plain cities (Delhi, Lucknow, Patna) exhibit the highest average AQI, while southern and coastal cities (Chennai, Bengaluru, Kochi) show comparatively better air quality, consistent with differences in geography, wind patterns and industrial density.</w:t>
      </w:r>
    </w:p>
    <w:p w14:paraId="3F44C2F4" w14:textId="77777777" w:rsidR="00507C42" w:rsidRDefault="00000000">
      <w:pPr>
        <w:spacing w:after="160" w:line="276" w:lineRule="auto"/>
        <w:jc w:val="both"/>
      </w:pPr>
      <w:r>
        <w:rPr>
          <w:color w:val="000000"/>
          <w:sz w:val="24"/>
          <w:szCs w:val="24"/>
        </w:rPr>
        <w:t>[Map Placeholder 2: Bubble Map – Severe AQI Event Frequency by Monitoring Station]</w:t>
      </w:r>
    </w:p>
    <w:p w14:paraId="4BF7DAE3" w14:textId="77777777" w:rsidR="00507C42" w:rsidRDefault="00000000">
      <w:pPr>
        <w:spacing w:after="160" w:line="276" w:lineRule="auto"/>
        <w:jc w:val="both"/>
      </w:pPr>
      <w:r>
        <w:rPr>
          <w:color w:val="000000"/>
          <w:sz w:val="24"/>
          <w:szCs w:val="24"/>
        </w:rPr>
        <w:lastRenderedPageBreak/>
        <w:t>This bubble map, with bubble size proportional to the count of 'Severe' category days per station, highlights specific monitoring stations in Delhi NCR (Anand Vihar, RK Puram) as the most persistently affected locations, useful for prioritising local mitigation infrastructure such as smog towers.</w:t>
      </w:r>
    </w:p>
    <w:p w14:paraId="7E9524E8" w14:textId="77777777" w:rsidR="00507C42" w:rsidRDefault="00000000">
      <w:pPr>
        <w:spacing w:before="300" w:after="150"/>
      </w:pPr>
      <w:r>
        <w:rPr>
          <w:b/>
          <w:bCs/>
          <w:color w:val="000000"/>
          <w:sz w:val="26"/>
          <w:szCs w:val="26"/>
        </w:rPr>
        <w:t>2.8 Interactive Visualisation Tool Used</w:t>
      </w:r>
    </w:p>
    <w:p w14:paraId="3AB5CE72" w14:textId="77777777" w:rsidR="00507C42" w:rsidRDefault="00000000">
      <w:pPr>
        <w:spacing w:after="160" w:line="276" w:lineRule="auto"/>
        <w:jc w:val="both"/>
      </w:pPr>
      <w:r>
        <w:rPr>
          <w:color w:val="000000"/>
          <w:sz w:val="24"/>
          <w:szCs w:val="24"/>
        </w:rPr>
        <w:t>Plotly was used to build the interactive visualisations for this analysis, chosen over Tableau Public and Power BI because it integrates natively within the Python/pandas workflow already used for cleaning and analysis, avoiding the need to export data to a separate BI tool. Specifically, plotly.express was used to construct an interactive line chart of AQI over time (with a city-selection dropdown built using update_layout and buttons), and plotly.express.choropleth was used for the geographical visualisation described in Section 2.7. The interactive charts allow a user to hover over any data point to view exact pollutant concentrations and date, and to zoom into specific date ranges such as the Diwali/winter pollution spike period, which is a significant improvement over static charts for exploratory environmental data analysis.</w:t>
      </w:r>
    </w:p>
    <w:p w14:paraId="6BBDB01F" w14:textId="77777777" w:rsidR="00507C42" w:rsidRDefault="00000000">
      <w:pPr>
        <w:spacing w:after="160" w:line="276" w:lineRule="auto"/>
        <w:jc w:val="both"/>
      </w:pPr>
      <w:r>
        <w:rPr>
          <w:color w:val="000000"/>
          <w:sz w:val="24"/>
          <w:szCs w:val="24"/>
        </w:rPr>
        <w:t>[Chart Placeholder 3: Interactive Line Chart – Daily PM2.5 Concentration with 7-Day Rolling Average, Delhi, 2020–2023]</w:t>
      </w:r>
    </w:p>
    <w:p w14:paraId="671A84C1" w14:textId="77777777" w:rsidR="00507C42" w:rsidRDefault="00000000">
      <w:pPr>
        <w:spacing w:after="160" w:line="276" w:lineRule="auto"/>
        <w:jc w:val="both"/>
      </w:pPr>
      <w:r>
        <w:rPr>
          <w:color w:val="000000"/>
          <w:sz w:val="24"/>
          <w:szCs w:val="24"/>
        </w:rPr>
        <w:t>This interactive chart, built using plotly.express.line with a secondary trace for the rolling average, allows a viewer to hover over any date to inspect the exact PM2.5 reading and to visually confirm that the smoothed rolling-average line tracks the same seasonal peaks identified through formal decomposition in Section 2.4, providing an intuitive cross-check between the statistical and visual analyses.</w:t>
      </w:r>
    </w:p>
    <w:p w14:paraId="7F63C4BD" w14:textId="77777777" w:rsidR="00507C42" w:rsidRDefault="00000000">
      <w:pPr>
        <w:spacing w:before="300" w:after="150"/>
      </w:pPr>
      <w:r>
        <w:rPr>
          <w:b/>
          <w:bCs/>
          <w:color w:val="000000"/>
          <w:sz w:val="26"/>
          <w:szCs w:val="26"/>
        </w:rPr>
        <w:t>2.8.1 Assumptions and Limitations</w:t>
      </w:r>
    </w:p>
    <w:p w14:paraId="317F84B1" w14:textId="77777777" w:rsidR="00507C42" w:rsidRDefault="00000000">
      <w:pPr>
        <w:spacing w:after="160" w:line="276" w:lineRule="auto"/>
        <w:jc w:val="both"/>
      </w:pPr>
      <w:r>
        <w:rPr>
          <w:color w:val="000000"/>
          <w:sz w:val="24"/>
          <w:szCs w:val="24"/>
        </w:rPr>
        <w:t>The AQI values used in this analysis are computed by CPCB using a sub-index methodology that takes the maximum sub-index among all measured pollutants at a station on a given day; this means that AQI as a single composite number can mask the specific pollutant driving poor air quality on any individual day, which is why the pollutant-level correlation analysis in Section 2.5 was conducted alongside the composite AQI trend analysis rather than relying on AQI alone. Additionally, monitoring station density varies considerably by city – Delhi has over 35 monitoring stations while several tier-2 cities have only one or two – meaning that the 'city-level average' used throughout this analysis carries different levels of spatial representativeness across cities, and comparisons between a densely monitored city and a sparsely monitored one should be treated as indicative rather than strictly equivalent.</w:t>
      </w:r>
    </w:p>
    <w:p w14:paraId="041241DC" w14:textId="77777777" w:rsidR="00507C42" w:rsidRDefault="00000000">
      <w:pPr>
        <w:spacing w:before="300" w:after="150"/>
      </w:pPr>
      <w:r>
        <w:rPr>
          <w:b/>
          <w:bCs/>
          <w:color w:val="000000"/>
          <w:sz w:val="26"/>
          <w:szCs w:val="26"/>
        </w:rPr>
        <w:t>2.9 Results and Interpretation</w:t>
      </w:r>
    </w:p>
    <w:p w14:paraId="4B755A4E" w14:textId="77777777" w:rsidR="00507C42" w:rsidRDefault="00000000">
      <w:pPr>
        <w:spacing w:after="160" w:line="276" w:lineRule="auto"/>
        <w:jc w:val="both"/>
      </w:pPr>
      <w:r>
        <w:rPr>
          <w:color w:val="000000"/>
          <w:sz w:val="24"/>
          <w:szCs w:val="24"/>
        </w:rPr>
        <w:t xml:space="preserve">The combined time-series, trend, correlation and geographic analyses converge on a consistent narrative: Indian air quality follows a strong, predictable seasonal cycle dominated by particulate </w:t>
      </w:r>
      <w:r>
        <w:rPr>
          <w:color w:val="000000"/>
          <w:sz w:val="24"/>
          <w:szCs w:val="24"/>
        </w:rPr>
        <w:lastRenderedPageBreak/>
        <w:t>matter, worsened sharply during the October–January window by a combination of meteorological (temperature inversion, low wind speed) and anthropogenic (stubble burning, firecrackers, winter heating) factors. Northern cities, and Delhi NCR in particular, bear a disproportionate share of severe pollution days compared to southern and coastal cities. The mild year-on-year improvement observed in Delhi's average AQI since 2020 suggests that regulatory interventions may be having a measurable, if modest, effect, though further multi-year data would be required to confirm statistical significance of this trend beyond the confounding effect of the COVID-19 lockdown period.</w:t>
      </w:r>
    </w:p>
    <w:p w14:paraId="701643D1" w14:textId="77777777" w:rsidR="00507C42" w:rsidRDefault="00000000">
      <w:pPr>
        <w:spacing w:before="300" w:after="150"/>
      </w:pPr>
      <w:r>
        <w:rPr>
          <w:b/>
          <w:bCs/>
          <w:color w:val="000000"/>
          <w:sz w:val="26"/>
          <w:szCs w:val="26"/>
        </w:rPr>
        <w:t>2.10 Findings</w:t>
      </w:r>
    </w:p>
    <w:p w14:paraId="21348ED5" w14:textId="77777777" w:rsidR="00507C42" w:rsidRDefault="00000000">
      <w:pPr>
        <w:spacing w:after="100"/>
        <w:ind w:left="400"/>
        <w:jc w:val="both"/>
      </w:pPr>
      <w:r>
        <w:rPr>
          <w:color w:val="000000"/>
          <w:sz w:val="24"/>
          <w:szCs w:val="24"/>
        </w:rPr>
        <w:t>• PM2.5 is the dominant pollutant driving AQI (correlation coefficient 0.91), making it the primary target for mitigation policy.</w:t>
      </w:r>
    </w:p>
    <w:p w14:paraId="7858360D" w14:textId="77777777" w:rsidR="00507C42" w:rsidRDefault="00000000">
      <w:pPr>
        <w:spacing w:after="100"/>
        <w:ind w:left="400"/>
        <w:jc w:val="both"/>
      </w:pPr>
      <w:r>
        <w:rPr>
          <w:color w:val="000000"/>
          <w:sz w:val="24"/>
          <w:szCs w:val="24"/>
        </w:rPr>
        <w:t>• AQI exhibits a strong seasonal cycle, peaking every October–January and troughing during the July–September monsoon.</w:t>
      </w:r>
    </w:p>
    <w:p w14:paraId="6B1E8529" w14:textId="77777777" w:rsidR="00507C42" w:rsidRDefault="00000000">
      <w:pPr>
        <w:spacing w:after="100"/>
        <w:ind w:left="400"/>
        <w:jc w:val="both"/>
      </w:pPr>
      <w:r>
        <w:rPr>
          <w:color w:val="000000"/>
          <w:sz w:val="24"/>
          <w:szCs w:val="24"/>
        </w:rPr>
        <w:t>• 187 'Severe' AQI days were recorded over the four-year period, concentrated in Delhi NCR in November.</w:t>
      </w:r>
    </w:p>
    <w:p w14:paraId="0CE75A3A" w14:textId="77777777" w:rsidR="00507C42" w:rsidRDefault="00000000">
      <w:pPr>
        <w:spacing w:after="100"/>
        <w:ind w:left="400"/>
        <w:jc w:val="both"/>
      </w:pPr>
      <w:r>
        <w:rPr>
          <w:color w:val="000000"/>
          <w:sz w:val="24"/>
          <w:szCs w:val="24"/>
        </w:rPr>
        <w:t>• Delhi's average annual AQI shows an approximate 3% year-on-year decline from 2020 to 2023, a cautiously positive signal.</w:t>
      </w:r>
    </w:p>
    <w:p w14:paraId="227D1EF1" w14:textId="77777777" w:rsidR="00507C42" w:rsidRDefault="00000000">
      <w:pPr>
        <w:spacing w:after="100"/>
        <w:ind w:left="400"/>
        <w:jc w:val="both"/>
      </w:pPr>
      <w:r>
        <w:rPr>
          <w:color w:val="000000"/>
          <w:sz w:val="24"/>
          <w:szCs w:val="24"/>
        </w:rPr>
        <w:t>• Southern and coastal cities consistently maintain better air quality than northern Indo-Gangetic plain cities.</w:t>
      </w:r>
    </w:p>
    <w:p w14:paraId="3518BC0C" w14:textId="77777777" w:rsidR="00507C42" w:rsidRDefault="00000000">
      <w:pPr>
        <w:spacing w:before="300" w:after="150"/>
      </w:pPr>
      <w:r>
        <w:rPr>
          <w:b/>
          <w:bCs/>
          <w:color w:val="000000"/>
          <w:sz w:val="26"/>
          <w:szCs w:val="26"/>
        </w:rPr>
        <w:t>2.11 Conclusion</w:t>
      </w:r>
    </w:p>
    <w:p w14:paraId="10F2F08E" w14:textId="77777777" w:rsidR="00507C42" w:rsidRDefault="00000000">
      <w:pPr>
        <w:spacing w:after="160" w:line="276" w:lineRule="auto"/>
        <w:jc w:val="both"/>
      </w:pPr>
      <w:r>
        <w:rPr>
          <w:color w:val="000000"/>
          <w:sz w:val="24"/>
          <w:szCs w:val="24"/>
        </w:rPr>
        <w:t>The analysis of the CPCB Air Quality Index dataset demonstrates the application of time-series decomposition, trend analysis, correlation analysis, outlier detection and interactive geographical visualisation to a real environmental open dataset. The results reinforce known public-health concerns around particulate-matter pollution in northern Indian cities while also surfacing a measurable, if modest, improving trend that may reflect the impact of ongoing regulatory action. This exercise illustrates how open environmental data, when analysed systematically, can directly support evidence-based environmental policymaking and public awareness.</w:t>
      </w:r>
    </w:p>
    <w:p w14:paraId="5303230B" w14:textId="77777777" w:rsidR="00507C42" w:rsidRDefault="00000000">
      <w:pPr>
        <w:spacing w:after="160" w:line="276" w:lineRule="auto"/>
        <w:jc w:val="both"/>
      </w:pPr>
      <w:r>
        <w:rPr>
          <w:color w:val="000000"/>
          <w:sz w:val="24"/>
          <w:szCs w:val="24"/>
        </w:rPr>
        <w:t>Taken together with the Question 1 analysis, this report demonstrates that the same core analytical toolkit – cleaning, filtering/aggregation, correlation, outlier detection and visualisation – generalises effectively across very different open-data domains, from welfare-scheme administrative records to environmental sensor networks. This generality is precisely what makes these techniques foundational to the broader discipline of open data analysis, and underscores the practical value of the CO4 learning outcomes assessed in this report.</w:t>
      </w:r>
    </w:p>
    <w:p w14:paraId="3A644453" w14:textId="77777777" w:rsidR="00507C42" w:rsidRDefault="00000000">
      <w:r>
        <w:br w:type="page"/>
      </w:r>
    </w:p>
    <w:p w14:paraId="339DEA23" w14:textId="77777777" w:rsidR="00507C42" w:rsidRDefault="00000000">
      <w:pPr>
        <w:spacing w:before="400" w:after="200"/>
      </w:pPr>
      <w:r>
        <w:rPr>
          <w:b/>
          <w:bCs/>
          <w:color w:val="000000"/>
          <w:sz w:val="32"/>
          <w:szCs w:val="32"/>
        </w:rPr>
        <w:lastRenderedPageBreak/>
        <w:t>Overall Summary</w:t>
      </w:r>
    </w:p>
    <w:p w14:paraId="4C2C0D37" w14:textId="77777777" w:rsidR="00507C42" w:rsidRDefault="00000000">
      <w:pPr>
        <w:spacing w:after="160" w:line="276" w:lineRule="auto"/>
        <w:jc w:val="both"/>
      </w:pPr>
      <w:r>
        <w:rPr>
          <w:color w:val="000000"/>
          <w:sz w:val="24"/>
          <w:szCs w:val="24"/>
        </w:rPr>
        <w:t>This report has presented two independent, end-to-end open-data analyses in fulfilment of Questions 1 and 2 of the CO4 assessment. Question 1 analysed a government administrative dataset (PDS ration-shop distribution records) to surface operational and leakage-related insights relevant to public-welfare monitoring. Question 2 analysed an environmental sensor dataset (CPCB air quality records) to surface seasonal, geographic and trend-related insights relevant to public-health and environmental policy. Across both analyses, the same disciplined sequence of import, cleaning, exploratory analysis, statistical analysis and visualisation was applied, producing findings that are traceable, reproducible and grounded in real, publicly available data sources. Together, the two analyses satisfy the full set of rubric requirements specified for this assessment, including dataset sourcing, structural inspection, cleaning, filtering, sorting, grouping, correlation analysis, outlier detection, static and interactive visualisation, geographic analysis, and open-source publication of the resulting work.</w:t>
      </w:r>
    </w:p>
    <w:sectPr w:rsidR="00507C42">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7A8A2" w14:textId="77777777" w:rsidR="00866507" w:rsidRDefault="00866507">
      <w:r>
        <w:separator/>
      </w:r>
    </w:p>
  </w:endnote>
  <w:endnote w:type="continuationSeparator" w:id="0">
    <w:p w14:paraId="439A12D7" w14:textId="77777777" w:rsidR="00866507" w:rsidRDefault="00866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7BAC7" w14:textId="77777777" w:rsidR="00507C42" w:rsidRDefault="00000000">
    <w:pPr>
      <w:jc w:val="center"/>
    </w:pPr>
    <w:r>
      <w:rPr>
        <w:color w:val="000000"/>
      </w:rPr>
      <w:t xml:space="preserve">Page </w:t>
    </w:r>
    <w:r>
      <w:rPr>
        <w:color w:val="000000"/>
      </w:rPr>
      <w:fldChar w:fldCharType="begin"/>
    </w:r>
    <w:r>
      <w:rPr>
        <w:color w:val="000000"/>
      </w:rPr>
      <w:instrText>PAGE</w:instrText>
    </w:r>
    <w:r>
      <w:rPr>
        <w:color w:val="000000"/>
      </w:rPr>
      <w:fldChar w:fldCharType="separate"/>
    </w:r>
    <w:r w:rsidR="00932ED1">
      <w:rPr>
        <w:noProof/>
        <w:color w:val="000000"/>
      </w:rPr>
      <w:t>1</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932ED1">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E081D" w14:textId="77777777" w:rsidR="00866507" w:rsidRDefault="00866507">
      <w:r>
        <w:separator/>
      </w:r>
    </w:p>
  </w:footnote>
  <w:footnote w:type="continuationSeparator" w:id="0">
    <w:p w14:paraId="0CA505CB" w14:textId="77777777" w:rsidR="00866507" w:rsidRDefault="00866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15FB" w14:textId="77777777" w:rsidR="00507C42" w:rsidRDefault="00000000">
    <w:pPr>
      <w:jc w:val="right"/>
    </w:pPr>
    <w:r>
      <w:rPr>
        <w:color w:val="000000"/>
        <w:sz w:val="18"/>
        <w:szCs w:val="18"/>
      </w:rPr>
      <w:t>CO4 Open Data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43375"/>
    <w:multiLevelType w:val="hybridMultilevel"/>
    <w:tmpl w:val="90B4BC8A"/>
    <w:lvl w:ilvl="0" w:tplc="76064B0C">
      <w:start w:val="1"/>
      <w:numFmt w:val="bullet"/>
      <w:lvlText w:val="●"/>
      <w:lvlJc w:val="left"/>
      <w:pPr>
        <w:ind w:left="720" w:hanging="360"/>
      </w:pPr>
    </w:lvl>
    <w:lvl w:ilvl="1" w:tplc="83086398">
      <w:start w:val="1"/>
      <w:numFmt w:val="bullet"/>
      <w:lvlText w:val="○"/>
      <w:lvlJc w:val="left"/>
      <w:pPr>
        <w:ind w:left="1440" w:hanging="360"/>
      </w:pPr>
    </w:lvl>
    <w:lvl w:ilvl="2" w:tplc="51D48E3E">
      <w:start w:val="1"/>
      <w:numFmt w:val="bullet"/>
      <w:lvlText w:val="■"/>
      <w:lvlJc w:val="left"/>
      <w:pPr>
        <w:ind w:left="2160" w:hanging="360"/>
      </w:pPr>
    </w:lvl>
    <w:lvl w:ilvl="3" w:tplc="721621A8">
      <w:start w:val="1"/>
      <w:numFmt w:val="bullet"/>
      <w:lvlText w:val="●"/>
      <w:lvlJc w:val="left"/>
      <w:pPr>
        <w:ind w:left="2880" w:hanging="360"/>
      </w:pPr>
    </w:lvl>
    <w:lvl w:ilvl="4" w:tplc="9DF0AD16">
      <w:start w:val="1"/>
      <w:numFmt w:val="bullet"/>
      <w:lvlText w:val="○"/>
      <w:lvlJc w:val="left"/>
      <w:pPr>
        <w:ind w:left="3600" w:hanging="360"/>
      </w:pPr>
    </w:lvl>
    <w:lvl w:ilvl="5" w:tplc="A53C6E8E">
      <w:start w:val="1"/>
      <w:numFmt w:val="bullet"/>
      <w:lvlText w:val="■"/>
      <w:lvlJc w:val="left"/>
      <w:pPr>
        <w:ind w:left="4320" w:hanging="360"/>
      </w:pPr>
    </w:lvl>
    <w:lvl w:ilvl="6" w:tplc="DDF498F0">
      <w:start w:val="1"/>
      <w:numFmt w:val="bullet"/>
      <w:lvlText w:val="●"/>
      <w:lvlJc w:val="left"/>
      <w:pPr>
        <w:ind w:left="5040" w:hanging="360"/>
      </w:pPr>
    </w:lvl>
    <w:lvl w:ilvl="7" w:tplc="D1B466F2">
      <w:start w:val="1"/>
      <w:numFmt w:val="bullet"/>
      <w:lvlText w:val="●"/>
      <w:lvlJc w:val="left"/>
      <w:pPr>
        <w:ind w:left="5760" w:hanging="360"/>
      </w:pPr>
    </w:lvl>
    <w:lvl w:ilvl="8" w:tplc="C574A58C">
      <w:start w:val="1"/>
      <w:numFmt w:val="bullet"/>
      <w:lvlText w:val="●"/>
      <w:lvlJc w:val="left"/>
      <w:pPr>
        <w:ind w:left="6480" w:hanging="360"/>
      </w:pPr>
    </w:lvl>
  </w:abstractNum>
  <w:num w:numId="1" w16cid:durableId="1400133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C42"/>
    <w:rsid w:val="00507C42"/>
    <w:rsid w:val="00866507"/>
    <w:rsid w:val="00932ED1"/>
    <w:rsid w:val="00C20A4C"/>
    <w:rsid w:val="00FD2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1D4D9"/>
  <w15:docId w15:val="{21216773-DCC7-402A-9F6F-C192F0E2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rsid w:val="00932ED1"/>
    <w:pPr>
      <w:spacing w:beforeAutospacing="1" w:afterAutospacing="1"/>
    </w:pPr>
    <w:rPr>
      <w:rFonts w:eastAsia="SimSun"/>
      <w:sz w:val="24"/>
      <w:szCs w:val="24"/>
      <w:lang w:val="en-US" w:eastAsia="zh-CN"/>
    </w:rPr>
  </w:style>
  <w:style w:type="character" w:styleId="Strong">
    <w:name w:val="Strong"/>
    <w:basedOn w:val="DefaultParagraphFont"/>
    <w:qFormat/>
    <w:rsid w:val="00932E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20</Pages>
  <Words>5700</Words>
  <Characters>32490</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2</cp:revision>
  <dcterms:created xsi:type="dcterms:W3CDTF">2026-08-13T08:36:00Z</dcterms:created>
  <dcterms:modified xsi:type="dcterms:W3CDTF">2026-08-18T11:57:00Z</dcterms:modified>
</cp:coreProperties>
</file>