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Шаяхметова Назара Насимовича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Особенности концентрации ионов калия, натрия и альдостерона в слюне и моче студентов с разным уровнем двигательной активности в течение года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Печатный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Международный научно-исследовательский журнал. – 2023. – № 12(138). – </w:t>
            </w:r>
            <w:hyperlink r:id="rId7" w:history="1">
              <w:r>
                <w:rPr>
                  <w:color w:val="0000FF"/>
                  <w:u w:val="single"/>
                </w:rPr>
                <w:t xml:space="preserve">EDN DHFULE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0.12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Ардеев Р.Г., Кузнецова Н.О., Иванов В.Б., Иванова А.В.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К 80-летию профессора Ш.З. Загидуллина - энциклопедиста здравоохранения, спорта, детского и психического здоровья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Печатный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Казанская наука. – 2024. – № 6. – </w:t>
            </w:r>
            <w:hyperlink r:id="rId8" w:history="1">
              <w:r>
                <w:rPr>
                  <w:color w:val="0000FF"/>
                  <w:u w:val="single"/>
                </w:rPr>
                <w:t xml:space="preserve">EDN FNWGTE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0.3 п.л. / 0.06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Киньябулатов А.У., Даутбаев Д.Г., Хайбуллин А.М., Ардеев Р.Г., Богданова М.В., Чистонов В.Д., Нуриманов Р.З., Ширяева Е.С.</w:t>
            </w:r>
          </w:p>
        </w:tc>
      </w:tr>
    </w:tbl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0"/>
        <w:bCs w:val="0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Шаяхметов Н.Н.</w:t>
    </w:r>
    <w:r>
      <w:rPr>
        <w:sz w:val="22"/>
        <w:szCs w:val="22"/>
        <w:b w:val="0"/>
        <w:bCs w:val="0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правовых дисциплин _________ /_________________/</w:t>
    </w:r>
  </w:p>
  <w:p>
    <w:pPr/>
    <w:r>
      <w:rPr>
        <w:sz w:val="22"/>
        <w:szCs w:val="22"/>
        <w:b w:val="0"/>
        <w:bCs w:val="0"/>
      </w:rPr>
      <w:t xml:space="preserve">Ученый секретарь Ученого совета НФ УУНиТ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  <w:style w:type="paragraph" w:customStyle="1" w:styleId="inTableStyle">
    <w:name w:val="inTableStyle"/>
    <w:basedOn w:val="Normal"/>
    <w:pPr>
      <w:jc w:val="left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elibrary.ru/dhfule" TargetMode="External"/><Relationship Id="rId8" Type="http://schemas.openxmlformats.org/officeDocument/2006/relationships/hyperlink" Target="https://elibrary.ru/fnwgte" TargetMode="Externa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2024-12-19T13:28:12+03:00</dcterms:created>
  <dcterms:modified xsi:type="dcterms:W3CDTF">2024-12-19T13:28:12+03:00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