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line="240" w:lineRule="auto"/>
        <w:ind w:firstLine="320"/>
        <w:rPr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Community service is a pillar of civic engagement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line="240" w:lineRule="auto"/>
        <w:ind w:firstLine="320"/>
        <w:rPr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Community Service in higher education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line="240" w:lineRule="auto"/>
        <w:ind w:firstLine="320"/>
        <w:rPr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Empathy, leadership, and social responsibility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40" w:lineRule="auto"/>
        <w:ind w:firstLine="320"/>
        <w:rPr>
          <w:shd w:fill="d9d9d9" w:val="clear"/>
        </w:rPr>
      </w:pP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Programs address poverty, environmental, and social justice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Calibri" w:cs="Calibri" w:eastAsia="Calibri" w:hAnsi="Calibri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Western universities embed community service, building strong local ties.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digital platforms enhance these programs by tracking volunteers, monitoring projects, and fostering collaboration.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Technology drives transparency, efficiency, and accountability in community work.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It's a powerful tool for social change and impact.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Calibri" w:cs="Calibri" w:eastAsia="Calibri" w:hAnsi="Calibri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cccccc" w:val="clear"/>
          <w:rtl w:val="0"/>
        </w:rPr>
        <w:t xml:space="preserve">Asia has a strong volunteer culture Academic service-learning,  and outreach programs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b w:val="1"/>
          <w:shd w:fill="cccccc" w:val="clear"/>
          <w:rtl w:val="0"/>
        </w:rPr>
        <w:t xml:space="preserve">Challenges:</w:t>
      </w:r>
      <w:r w:rsidDel="00000000" w:rsidR="00000000" w:rsidRPr="00000000">
        <w:rPr>
          <w:rFonts w:ascii="Calibri" w:cs="Calibri" w:eastAsia="Calibri" w:hAnsi="Calibri"/>
          <w:shd w:fill="cccccc" w:val="clear"/>
          <w:rtl w:val="0"/>
        </w:rPr>
        <w:t xml:space="preserve"> Limited resources, low student involvement, poor tracking systems and outdated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Bayanihan culture promotes helping others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Community extension is required in higher education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Challenges: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Difficult to scale, evaluate, and inspire engagement in community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cccccc" w:val="clear"/>
          <w:rtl w:val="0"/>
        </w:rPr>
        <w:t xml:space="preserve">University of the Assumption/ </w:t>
      </w:r>
      <w:r w:rsidDel="00000000" w:rsidR="00000000" w:rsidRPr="00000000">
        <w:rPr>
          <w:rFonts w:ascii="Calibri" w:cs="Calibri" w:eastAsia="Calibri" w:hAnsi="Calibri"/>
          <w:shd w:fill="cccccc" w:val="clear"/>
          <w:rtl w:val="0"/>
        </w:rPr>
        <w:t xml:space="preserve">Paper forms</w:t>
      </w:r>
      <w:r w:rsidDel="00000000" w:rsidR="00000000" w:rsidRPr="00000000">
        <w:rPr>
          <w:shd w:fill="cccc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hd w:fill="cccccc" w:val="clear"/>
          <w:rtl w:val="0"/>
        </w:rPr>
        <w:t xml:space="preserve"> Manual attendance, Fragmented records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CommunityLink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Web-based responsive toolkit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Supports creation, management, tracking of community projects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Simplifies development, management, monitoring of community projects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Improves electronic recording &amp; verification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Increase transparency with dashboards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Promotes volunteerism &amp; engagement in communities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Electronic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Automated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Real-time dashboards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Research Questions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firstLine="2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a centralized web-based toolkit effectively simplify the development, management, and monitoring of community extension projects at the University of the Assumption?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40" w:lineRule="auto"/>
        <w:ind w:firstLine="2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 what degree can "CommunityLink" improve the electronic recording, documentation, and automated verification of student service hours in community extension activities?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40" w:lineRule="auto"/>
        <w:ind w:firstLine="2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transparent and actionable will the real-time dashboards of "CommunityLink" be to stakeholders regarding community project progress and participant data?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firstLine="2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usable and satisfactory will "CommunityLink" be for its intended users?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firstLine="2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"CommunityLink" be leveraged to enhance outreach, promote volunteerism and increase alumni engagement, as well as university community extension projects?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design &amp; develop an intuitive and responsive web-based toolkit that consolidates the creation, management, and monitoring elements for community engagement projects.</w:t>
      </w:r>
    </w:p>
    <w:p w:rsidR="00000000" w:rsidDel="00000000" w:rsidP="00000000" w:rsidRDefault="00000000" w:rsidRPr="00000000" w14:paraId="00000027">
      <w:pPr>
        <w:widowControl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2. To establish electronic recording, cloud-based accurate log for documenting, and automated verification of participant documentation/recording of student service hours for community involvement.</w:t>
      </w:r>
    </w:p>
    <w:p w:rsidR="00000000" w:rsidDel="00000000" w:rsidP="00000000" w:rsidRDefault="00000000" w:rsidRPr="00000000" w14:paraId="00000028">
      <w:pPr>
        <w:widowControl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3. To create and integrate comprehensive dashboards consisting of timely, transparent, and current project data on user participation habits.</w:t>
      </w:r>
    </w:p>
    <w:p w:rsidR="00000000" w:rsidDel="00000000" w:rsidP="00000000" w:rsidRDefault="00000000" w:rsidRPr="00000000" w14:paraId="00000029">
      <w:pPr>
        <w:widowControl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4. To try and test out the "CommunityLink" platform in a pilot test that includes evaluating certain departments or student organizations to get user feedback on overall usability, functionality, and effectiveness.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5. To explore the significance of "CommunityLink" in regard to support for the outreach in community, volunteerism &amp; support for outreach activities, and improve the accuracy of evidence for documentation of community service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UA College Students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Community Extension Office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Delimitation: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UA Elementary Students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UA Junior High School Students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UA Senior High School Students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 Universities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mbria" w:cs="Cambria" w:eastAsia="Cambria" w:hAnsi="Cambria"/>
          <w:sz w:val="90"/>
          <w:szCs w:val="90"/>
        </w:rPr>
      </w:pPr>
      <w:r w:rsidDel="00000000" w:rsidR="00000000" w:rsidRPr="00000000">
        <w:rPr>
          <w:sz w:val="38"/>
          <w:szCs w:val="38"/>
          <w:rtl w:val="0"/>
        </w:rPr>
        <w:t xml:space="preserve">PRAYER TO OUR LADY ASSUMED INTO HEAVEN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God, our loving Father,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creation rightly gives you praise,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all life and all holiness come from you.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plan of salvation you chose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Blessed Virgin Mary  to  be the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Mother of your Son, and so you raised her body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soul in heavenly glory.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her we offer our love and devotion,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she remains as our life,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sweetness, and our hope.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Through her intercession, watch over us,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efforts, and our daily needs.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we follow her example in following her Son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we join her unending hymn of love  and praise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ask this through Christ our Lord,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Amen.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Leader: Transform us to be like Jesus through Mary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: Amen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  <w:rtl w:val="0"/>
        </w:rPr>
        <w:t xml:space="preserve">UA Transforms You!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